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right"/>
        <w:rPr>
          <w:rFonts w:hint="eastAsia" w:ascii="仿宋_GB2312" w:hAnsi="微软雅黑" w:eastAsia="仿宋_GB2312" w:cs="仿宋_GB2312"/>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eastAsia="zh-CN"/>
        </w:rPr>
        <w:t>淄博市体育局</w:t>
      </w:r>
      <w:r>
        <w:rPr>
          <w:rFonts w:hint="eastAsia" w:ascii="方正小标宋简体" w:hAnsi="方正小标宋简体" w:eastAsia="方正小标宋简体" w:cs="方正小标宋简体"/>
          <w:i w:val="0"/>
          <w:caps w:val="0"/>
          <w:color w:val="000000"/>
          <w:spacing w:val="0"/>
          <w:sz w:val="44"/>
          <w:szCs w:val="44"/>
          <w:lang w:val="en-US" w:eastAsia="zh-CN"/>
        </w:rPr>
        <w:t>2023年政府信息公开工作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val="en-US" w:eastAsia="zh-CN"/>
        </w:rPr>
        <w:t>年度报告</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本年度报告中所列数据的统计期限自202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年1月1日起，至202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年12月31日止。如对报告内容有疑问，请与淄博市体育局联系</w:t>
      </w:r>
      <w:r>
        <w:rPr>
          <w:rFonts w:hint="eastAsia" w:ascii="仿宋" w:hAnsi="仿宋" w:eastAsia="仿宋" w:cs="仿宋"/>
          <w:sz w:val="32"/>
          <w:szCs w:val="32"/>
        </w:rPr>
        <w:t>（地址：淄博市张店区人民西路321号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邮编</w:t>
      </w:r>
      <w:r>
        <w:rPr>
          <w:rFonts w:hint="eastAsia" w:ascii="仿宋" w:hAnsi="仿宋" w:eastAsia="仿宋" w:cs="仿宋"/>
          <w:sz w:val="32"/>
          <w:szCs w:val="32"/>
        </w:rPr>
        <w:t>：255000</w:t>
      </w:r>
      <w:r>
        <w:rPr>
          <w:rFonts w:hint="eastAsia" w:ascii="仿宋" w:hAnsi="仿宋" w:eastAsia="仿宋" w:cs="仿宋"/>
          <w:sz w:val="32"/>
          <w:szCs w:val="32"/>
          <w:lang w:eastAsia="zh-CN"/>
        </w:rPr>
        <w:t>；电</w:t>
      </w:r>
      <w:r>
        <w:rPr>
          <w:rFonts w:hint="eastAsia" w:ascii="仿宋" w:hAnsi="仿宋" w:eastAsia="仿宋" w:cs="仿宋"/>
          <w:sz w:val="32"/>
          <w:szCs w:val="32"/>
        </w:rPr>
        <w:t>话：0533-2180704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电子邮件：</w:t>
      </w:r>
      <w:r>
        <w:rPr>
          <w:rFonts w:hint="eastAsia" w:ascii="仿宋" w:hAnsi="仿宋" w:eastAsia="仿宋" w:cs="仿宋"/>
          <w:sz w:val="32"/>
          <w:szCs w:val="32"/>
        </w:rPr>
        <w:t> zbstyj@zb.shandong.cn）。 </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总体情况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淄博市体育局始终坚持以习近平新时代中国特色社会主义思想为指导，深入学习贯彻党的二十大精神和习近平总书记关于体育工作的重要论述，聚焦“3510”发展目标、“强富美优”城市愿景，锚定“办人民满意体育”目标，以国家、省、市关于政务公开工作决策部署为指导，</w:t>
      </w:r>
      <w:r>
        <w:rPr>
          <w:rFonts w:hint="eastAsia" w:ascii="仿宋" w:hAnsi="仿宋" w:eastAsia="仿宋" w:cs="仿宋"/>
          <w:sz w:val="32"/>
          <w:szCs w:val="32"/>
          <w:lang w:eastAsia="zh-CN"/>
        </w:rPr>
        <w:t>重落实、促规范、</w:t>
      </w:r>
      <w:r>
        <w:rPr>
          <w:rFonts w:hint="eastAsia" w:ascii="仿宋" w:hAnsi="仿宋" w:eastAsia="仿宋" w:cs="仿宋"/>
          <w:sz w:val="32"/>
          <w:szCs w:val="32"/>
          <w:lang w:val="en-US" w:eastAsia="zh-CN"/>
        </w:rPr>
        <w:t>强</w:t>
      </w:r>
      <w:r>
        <w:rPr>
          <w:rFonts w:hint="eastAsia" w:ascii="仿宋" w:hAnsi="仿宋" w:eastAsia="仿宋" w:cs="仿宋"/>
          <w:sz w:val="32"/>
          <w:szCs w:val="32"/>
          <w:lang w:eastAsia="zh-CN"/>
        </w:rPr>
        <w:t>服务，</w:t>
      </w:r>
      <w:r>
        <w:rPr>
          <w:rFonts w:hint="eastAsia" w:ascii="仿宋" w:hAnsi="仿宋" w:eastAsia="仿宋" w:cs="仿宋"/>
          <w:sz w:val="32"/>
          <w:szCs w:val="32"/>
        </w:rPr>
        <w:t>不断提高政务公开</w:t>
      </w:r>
      <w:r>
        <w:rPr>
          <w:rFonts w:hint="eastAsia" w:ascii="仿宋" w:hAnsi="仿宋" w:eastAsia="仿宋" w:cs="仿宋"/>
          <w:sz w:val="32"/>
          <w:szCs w:val="32"/>
          <w:lang w:val="en-US" w:eastAsia="zh-CN"/>
        </w:rPr>
        <w:t>制度</w:t>
      </w:r>
      <w:r>
        <w:rPr>
          <w:rFonts w:hint="eastAsia" w:ascii="仿宋" w:hAnsi="仿宋" w:eastAsia="仿宋" w:cs="仿宋"/>
          <w:sz w:val="32"/>
          <w:szCs w:val="32"/>
        </w:rPr>
        <w:t>化、标准化、规范化水平，</w:t>
      </w:r>
      <w:r>
        <w:rPr>
          <w:rFonts w:hint="eastAsia" w:ascii="仿宋" w:hAnsi="仿宋" w:eastAsia="仿宋" w:cs="仿宋"/>
          <w:sz w:val="32"/>
          <w:szCs w:val="32"/>
          <w:lang w:val="en-US" w:eastAsia="zh-CN"/>
        </w:rPr>
        <w:t>开创了体育强市新局面。</w:t>
      </w:r>
    </w:p>
    <w:p>
      <w:pPr>
        <w:numPr>
          <w:ilvl w:val="0"/>
          <w:numId w:val="0"/>
        </w:numPr>
        <w:spacing w:line="56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主动公开情况。</w:t>
      </w:r>
      <w:r>
        <w:rPr>
          <w:rFonts w:hint="eastAsia" w:ascii="仿宋" w:hAnsi="仿宋" w:eastAsia="仿宋" w:cs="仿宋"/>
          <w:i w:val="0"/>
          <w:caps w:val="0"/>
          <w:color w:val="000000"/>
          <w:spacing w:val="0"/>
          <w:sz w:val="32"/>
          <w:szCs w:val="32"/>
          <w:shd w:val="clear" w:color="auto" w:fill="FFFFFF"/>
          <w:lang w:val="en-US" w:eastAsia="zh-CN"/>
        </w:rPr>
        <w:t>2023年，</w:t>
      </w:r>
      <w:r>
        <w:rPr>
          <w:rFonts w:hint="eastAsia" w:ascii="仿宋" w:hAnsi="仿宋" w:eastAsia="仿宋" w:cs="仿宋"/>
          <w:b w:val="0"/>
          <w:bCs w:val="0"/>
          <w:sz w:val="32"/>
          <w:szCs w:val="32"/>
          <w:lang w:val="en-US" w:eastAsia="zh-CN"/>
        </w:rPr>
        <w:t>淄博市体育局</w:t>
      </w:r>
      <w:r>
        <w:rPr>
          <w:rFonts w:hint="eastAsia" w:ascii="仿宋" w:hAnsi="仿宋" w:eastAsia="仿宋" w:cs="仿宋"/>
          <w:b w:val="0"/>
          <w:bCs w:val="0"/>
          <w:i w:val="0"/>
          <w:caps w:val="0"/>
          <w:color w:val="auto"/>
          <w:spacing w:val="0"/>
          <w:sz w:val="32"/>
          <w:szCs w:val="32"/>
          <w:shd w:val="clear" w:color="auto" w:fill="FFFFFF"/>
          <w:lang w:val="en-US" w:eastAsia="zh-CN"/>
        </w:rPr>
        <w:t>官方网站共发布信息710条，</w:t>
      </w:r>
      <w:r>
        <w:rPr>
          <w:rFonts w:hint="eastAsia" w:ascii="仿宋" w:hAnsi="仿宋" w:eastAsia="仿宋" w:cs="仿宋"/>
          <w:i w:val="0"/>
          <w:caps w:val="0"/>
          <w:color w:val="000000"/>
          <w:spacing w:val="0"/>
          <w:sz w:val="32"/>
          <w:szCs w:val="32"/>
          <w:shd w:val="clear" w:color="auto" w:fill="FFFFFF"/>
          <w:lang w:val="en-US" w:eastAsia="zh-CN"/>
        </w:rPr>
        <w:t>其中政务公开233条，</w:t>
      </w:r>
      <w:r>
        <w:rPr>
          <w:rFonts w:hint="eastAsia" w:ascii="仿宋" w:hAnsi="仿宋" w:eastAsia="仿宋" w:cs="仿宋"/>
          <w:i w:val="0"/>
          <w:caps w:val="0"/>
          <w:color w:val="auto"/>
          <w:spacing w:val="0"/>
          <w:sz w:val="32"/>
          <w:szCs w:val="32"/>
          <w:shd w:val="clear" w:color="auto" w:fill="FFFFFF"/>
          <w:lang w:val="en-US" w:eastAsia="zh-CN"/>
        </w:rPr>
        <w:t>业务信息150条，通知公告24条，其他信息303条。</w:t>
      </w:r>
      <w:r>
        <w:rPr>
          <w:rFonts w:hint="eastAsia" w:ascii="仿宋" w:hAnsi="仿宋" w:eastAsia="仿宋" w:cs="仿宋"/>
          <w:i w:val="0"/>
          <w:caps w:val="0"/>
          <w:color w:val="auto"/>
          <w:spacing w:val="0"/>
          <w:sz w:val="32"/>
          <w:szCs w:val="32"/>
          <w:shd w:val="clear" w:color="auto" w:fill="FFFFFF"/>
          <w:lang w:eastAsia="zh-CN"/>
        </w:rPr>
        <w:t>开设</w:t>
      </w:r>
      <w:r>
        <w:rPr>
          <w:rFonts w:hint="eastAsia" w:ascii="仿宋" w:hAnsi="仿宋" w:eastAsia="仿宋" w:cs="仿宋"/>
          <w:i w:val="0"/>
          <w:caps w:val="0"/>
          <w:color w:val="000000"/>
          <w:spacing w:val="0"/>
          <w:sz w:val="32"/>
          <w:szCs w:val="32"/>
          <w:shd w:val="clear" w:color="auto" w:fill="FFFFFF"/>
          <w:lang w:val="en-US" w:eastAsia="zh-CN"/>
        </w:rPr>
        <w:t>20个法定主动公开栏目，发布部门文件33件，多种形式解读政策性文件和会议44条。</w:t>
      </w:r>
      <w:r>
        <w:rPr>
          <w:rFonts w:hint="eastAsia" w:ascii="仿宋" w:hAnsi="仿宋" w:eastAsia="仿宋" w:cs="仿宋"/>
          <w:sz w:val="32"/>
          <w:szCs w:val="32"/>
        </w:rPr>
        <w:t>在重点领域信息公开方面，</w:t>
      </w:r>
      <w:r>
        <w:rPr>
          <w:rFonts w:hint="eastAsia" w:ascii="仿宋" w:hAnsi="仿宋" w:eastAsia="仿宋" w:cs="仿宋"/>
          <w:sz w:val="32"/>
          <w:szCs w:val="32"/>
          <w:lang w:val="en-US" w:eastAsia="zh-CN"/>
        </w:rPr>
        <w:t>突出做好</w:t>
      </w:r>
      <w:r>
        <w:rPr>
          <w:rFonts w:hint="eastAsia" w:ascii="仿宋" w:hAnsi="仿宋" w:eastAsia="仿宋" w:cs="仿宋"/>
          <w:sz w:val="32"/>
          <w:szCs w:val="32"/>
        </w:rPr>
        <w:t>财政预决算信息、</w:t>
      </w:r>
      <w:r>
        <w:rPr>
          <w:rFonts w:hint="eastAsia" w:ascii="仿宋" w:hAnsi="仿宋" w:eastAsia="仿宋" w:cs="仿宋"/>
          <w:sz w:val="32"/>
          <w:szCs w:val="32"/>
          <w:lang w:val="en-US" w:eastAsia="zh-CN"/>
        </w:rPr>
        <w:t>财政资金投入和使用、</w:t>
      </w:r>
      <w:r>
        <w:rPr>
          <w:rFonts w:hint="eastAsia" w:ascii="仿宋" w:hAnsi="仿宋" w:eastAsia="仿宋" w:cs="仿宋"/>
          <w:sz w:val="32"/>
          <w:szCs w:val="32"/>
          <w:lang w:eastAsia="zh-CN"/>
        </w:rPr>
        <w:t>公共文化体育服务政策和体系建设、设施名录和场馆使用清单及公益性体育赛事活动安排等情况的公开力度。</w:t>
      </w:r>
      <w:r>
        <w:rPr>
          <w:rFonts w:hint="eastAsia" w:ascii="仿宋" w:hAnsi="仿宋" w:eastAsia="仿宋" w:cs="仿宋"/>
          <w:i w:val="0"/>
          <w:caps w:val="0"/>
          <w:color w:val="000000"/>
          <w:spacing w:val="0"/>
          <w:sz w:val="32"/>
          <w:szCs w:val="32"/>
          <w:shd w:val="clear" w:color="auto" w:fill="FFFFFF"/>
          <w:lang w:eastAsia="zh-CN"/>
        </w:rPr>
        <w:t>贯彻“应公开尽公开”的原则，</w:t>
      </w:r>
      <w:r>
        <w:rPr>
          <w:rFonts w:hint="eastAsia" w:ascii="仿宋" w:hAnsi="仿宋" w:eastAsia="仿宋" w:cs="仿宋"/>
          <w:sz w:val="32"/>
          <w:szCs w:val="32"/>
        </w:rPr>
        <w:t>及时公布相关信息，</w:t>
      </w:r>
      <w:r>
        <w:rPr>
          <w:rFonts w:hint="eastAsia" w:ascii="仿宋" w:hAnsi="仿宋" w:eastAsia="仿宋" w:cs="仿宋"/>
          <w:sz w:val="32"/>
          <w:szCs w:val="32"/>
          <w:lang w:val="en-US" w:eastAsia="zh-CN"/>
        </w:rPr>
        <w:t>搭建起政府和群众沟通的桥梁，随时</w:t>
      </w:r>
      <w:r>
        <w:rPr>
          <w:rFonts w:hint="eastAsia" w:ascii="仿宋" w:hAnsi="仿宋" w:eastAsia="仿宋" w:cs="仿宋"/>
          <w:sz w:val="32"/>
          <w:szCs w:val="32"/>
        </w:rPr>
        <w:t>接受</w:t>
      </w:r>
      <w:r>
        <w:rPr>
          <w:rFonts w:hint="eastAsia" w:ascii="仿宋" w:hAnsi="仿宋" w:eastAsia="仿宋" w:cs="仿宋"/>
          <w:sz w:val="32"/>
          <w:szCs w:val="32"/>
          <w:lang w:val="en-US" w:eastAsia="zh-CN"/>
        </w:rPr>
        <w:t>群众和</w:t>
      </w:r>
      <w:r>
        <w:rPr>
          <w:rFonts w:hint="eastAsia" w:ascii="仿宋" w:hAnsi="仿宋" w:eastAsia="仿宋" w:cs="仿宋"/>
          <w:sz w:val="32"/>
          <w:szCs w:val="32"/>
        </w:rPr>
        <w:t>社会监督。</w:t>
      </w:r>
    </w:p>
    <w:p>
      <w:pPr>
        <w:numPr>
          <w:ilvl w:val="0"/>
          <w:numId w:val="0"/>
        </w:numPr>
        <w:rPr>
          <w:rFonts w:hint="eastAsia" w:ascii="仿宋" w:hAnsi="仿宋" w:eastAsia="仿宋" w:cs="仿宋"/>
          <w:sz w:val="32"/>
          <w:szCs w:val="32"/>
          <w:lang w:eastAsia="zh-CN"/>
        </w:rPr>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numPr>
          <w:ilvl w:val="0"/>
          <w:numId w:val="0"/>
        </w:numPr>
        <w:ind w:firstLine="643" w:firstLineChars="200"/>
        <w:rPr>
          <w:rFonts w:hint="eastAsia" w:ascii="楷体" w:hAnsi="楷体" w:eastAsia="楷体" w:cs="楷体"/>
          <w:b/>
          <w:bCs/>
          <w:sz w:val="32"/>
          <w:szCs w:val="32"/>
          <w:lang w:val="en-US" w:eastAsia="zh-CN"/>
        </w:rPr>
      </w:pPr>
    </w:p>
    <w:p>
      <w:pPr>
        <w:numPr>
          <w:ilvl w:val="0"/>
          <w:numId w:val="0"/>
        </w:num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依申请公开情况。</w:t>
      </w:r>
      <w:r>
        <w:rPr>
          <w:rFonts w:hint="eastAsia" w:ascii="仿宋" w:hAnsi="仿宋" w:eastAsia="仿宋" w:cs="仿宋"/>
          <w:b w:val="0"/>
          <w:bCs w:val="0"/>
          <w:sz w:val="32"/>
          <w:szCs w:val="32"/>
          <w:lang w:val="en-US" w:eastAsia="zh-CN"/>
        </w:rPr>
        <w:t>2023年，</w:t>
      </w:r>
      <w:r>
        <w:rPr>
          <w:rFonts w:hint="eastAsia" w:ascii="仿宋" w:hAnsi="仿宋" w:eastAsia="仿宋" w:cs="仿宋"/>
          <w:sz w:val="32"/>
          <w:szCs w:val="32"/>
          <w:lang w:val="en-US" w:eastAsia="zh-CN"/>
        </w:rPr>
        <w:t>收到</w:t>
      </w:r>
      <w:r>
        <w:rPr>
          <w:rFonts w:hint="eastAsia" w:ascii="仿宋" w:hAnsi="仿宋" w:eastAsia="仿宋" w:cs="仿宋"/>
          <w:sz w:val="32"/>
          <w:szCs w:val="32"/>
        </w:rPr>
        <w:t>政府信息公开申请</w:t>
      </w:r>
      <w:r>
        <w:rPr>
          <w:rFonts w:hint="eastAsia" w:ascii="仿宋" w:hAnsi="仿宋" w:eastAsia="仿宋" w:cs="仿宋"/>
          <w:sz w:val="32"/>
          <w:szCs w:val="32"/>
          <w:lang w:val="en-US" w:eastAsia="zh-CN"/>
        </w:rPr>
        <w:t>2</w:t>
      </w:r>
      <w:r>
        <w:rPr>
          <w:rFonts w:hint="eastAsia" w:ascii="仿宋" w:hAnsi="仿宋" w:eastAsia="仿宋" w:cs="仿宋"/>
          <w:sz w:val="32"/>
          <w:szCs w:val="32"/>
        </w:rPr>
        <w:t>件，没有因政府信息公开工作被申请行政复议、提起行政诉讼情况</w:t>
      </w:r>
      <w:r>
        <w:rPr>
          <w:rFonts w:hint="eastAsia" w:ascii="仿宋" w:hAnsi="仿宋" w:eastAsia="仿宋" w:cs="仿宋"/>
          <w:sz w:val="32"/>
          <w:szCs w:val="32"/>
          <w:lang w:eastAsia="zh-CN"/>
        </w:rPr>
        <w:t>，</w:t>
      </w:r>
      <w:r>
        <w:rPr>
          <w:rFonts w:hint="eastAsia" w:ascii="仿宋" w:hAnsi="仿宋" w:eastAsia="仿宋" w:cs="仿宋"/>
          <w:sz w:val="32"/>
          <w:szCs w:val="32"/>
        </w:rPr>
        <w:t>此过程中无收费情况</w:t>
      </w:r>
      <w:r>
        <w:rPr>
          <w:rFonts w:hint="eastAsia" w:ascii="仿宋" w:hAnsi="仿宋" w:eastAsia="仿宋" w:cs="仿宋"/>
          <w:sz w:val="32"/>
          <w:szCs w:val="32"/>
          <w:lang w:eastAsia="zh-CN"/>
        </w:rPr>
        <w:t>，</w:t>
      </w:r>
      <w:r>
        <w:rPr>
          <w:rFonts w:hint="eastAsia" w:ascii="仿宋" w:hAnsi="仿宋" w:eastAsia="仿宋" w:cs="仿宋"/>
          <w:sz w:val="32"/>
          <w:szCs w:val="32"/>
        </w:rPr>
        <w:t>与</w:t>
      </w:r>
      <w:r>
        <w:rPr>
          <w:rFonts w:hint="eastAsia" w:ascii="仿宋" w:hAnsi="仿宋" w:eastAsia="仿宋" w:cs="仿宋"/>
          <w:sz w:val="32"/>
          <w:szCs w:val="32"/>
          <w:lang w:val="en-US" w:eastAsia="zh-CN"/>
        </w:rPr>
        <w:t>2022</w:t>
      </w:r>
      <w:r>
        <w:rPr>
          <w:rFonts w:hint="eastAsia" w:ascii="仿宋" w:hAnsi="仿宋" w:eastAsia="仿宋" w:cs="仿宋"/>
          <w:sz w:val="32"/>
          <w:szCs w:val="32"/>
        </w:rPr>
        <w:t>年相比，受理数量下降</w:t>
      </w:r>
      <w:r>
        <w:rPr>
          <w:rFonts w:hint="eastAsia" w:ascii="仿宋" w:hAnsi="仿宋" w:eastAsia="仿宋" w:cs="仿宋"/>
          <w:sz w:val="32"/>
          <w:szCs w:val="32"/>
          <w:lang w:val="en-US" w:eastAsia="zh-CN"/>
        </w:rPr>
        <w:t>2</w:t>
      </w:r>
      <w:r>
        <w:rPr>
          <w:rFonts w:hint="eastAsia" w:ascii="仿宋" w:hAnsi="仿宋" w:eastAsia="仿宋" w:cs="仿宋"/>
          <w:sz w:val="32"/>
          <w:szCs w:val="32"/>
        </w:rPr>
        <w:t>件。市体育局</w:t>
      </w:r>
      <w:r>
        <w:rPr>
          <w:rFonts w:hint="eastAsia" w:ascii="仿宋" w:hAnsi="仿宋" w:eastAsia="仿宋" w:cs="仿宋"/>
          <w:sz w:val="32"/>
          <w:szCs w:val="32"/>
          <w:lang w:eastAsia="zh-CN"/>
        </w:rPr>
        <w:t>严格按照《条例》规定程序，专人负责依申请公开信息登记、办理、答复工作，做到答复及时、内容准确、程序规范、严格保密。</w:t>
      </w:r>
    </w:p>
    <w:p>
      <w:pPr>
        <w:numPr>
          <w:ilvl w:val="0"/>
          <w:numId w:val="0"/>
        </w:numPr>
        <w:rPr>
          <w:rFonts w:hint="eastAsia" w:ascii="仿宋" w:hAnsi="仿宋" w:eastAsia="仿宋" w:cs="仿宋"/>
          <w:sz w:val="32"/>
          <w:szCs w:val="32"/>
        </w:rPr>
      </w:pPr>
    </w:p>
    <w:p>
      <w:pPr>
        <w:numPr>
          <w:ilvl w:val="0"/>
          <w:numId w:val="0"/>
        </w:numPr>
        <w:ind w:leftChars="200"/>
        <w:rPr>
          <w:rFonts w:hint="eastAsia" w:ascii="仿宋" w:hAnsi="仿宋" w:eastAsia="仿宋" w:cs="仿宋"/>
          <w:sz w:val="32"/>
          <w:szCs w:val="32"/>
          <w:lang w:eastAsia="zh-CN"/>
        </w:rPr>
      </w:pPr>
    </w:p>
    <w:p>
      <w:pPr>
        <w:numPr>
          <w:ilvl w:val="0"/>
          <w:numId w:val="0"/>
        </w:numPr>
        <w:ind w:leftChars="200"/>
        <w:rPr>
          <w:rFonts w:hint="eastAsia" w:ascii="仿宋" w:hAnsi="仿宋" w:eastAsia="仿宋" w:cs="仿宋"/>
          <w:sz w:val="32"/>
          <w:szCs w:val="32"/>
          <w:lang w:eastAsia="zh-CN"/>
        </w:rPr>
      </w:pPr>
    </w:p>
    <w:p>
      <w:pPr>
        <w:numPr>
          <w:ilvl w:val="0"/>
          <w:numId w:val="0"/>
        </w:numPr>
        <w:ind w:firstLine="420" w:firstLineChars="200"/>
        <w:rPr>
          <w:rFonts w:hint="eastAsia" w:ascii="楷体" w:hAnsi="楷体" w:eastAsia="楷体" w:cs="楷体"/>
          <w:b/>
          <w:bCs/>
          <w:sz w:val="32"/>
          <w:szCs w:val="32"/>
          <w:lang w:val="en-US" w:eastAsia="zh-CN"/>
        </w:rPr>
      </w:pPr>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numPr>
          <w:ilvl w:val="0"/>
          <w:numId w:val="0"/>
        </w:numPr>
        <w:ind w:firstLine="643" w:firstLineChars="200"/>
        <w:rPr>
          <w:rFonts w:hint="eastAsia" w:ascii="楷体" w:hAnsi="楷体" w:eastAsia="楷体" w:cs="楷体"/>
          <w:b/>
          <w:bCs/>
          <w:sz w:val="32"/>
          <w:szCs w:val="32"/>
          <w:lang w:val="en-US" w:eastAsia="zh-CN"/>
        </w:rPr>
      </w:pPr>
    </w:p>
    <w:p>
      <w:pPr>
        <w:numPr>
          <w:ilvl w:val="0"/>
          <w:numId w:val="0"/>
        </w:numPr>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政府信息管理情况。</w:t>
      </w:r>
      <w:r>
        <w:rPr>
          <w:rFonts w:hint="eastAsia" w:ascii="仿宋" w:hAnsi="仿宋" w:eastAsia="仿宋" w:cs="仿宋"/>
          <w:sz w:val="32"/>
          <w:szCs w:val="32"/>
          <w:lang w:eastAsia="zh-CN"/>
        </w:rPr>
        <w:t>市体育局制定了政务公开工作方案，调整了</w:t>
      </w:r>
      <w:r>
        <w:rPr>
          <w:rFonts w:hint="eastAsia" w:ascii="仿宋" w:hAnsi="仿宋" w:eastAsia="仿宋" w:cs="仿宋"/>
          <w:sz w:val="32"/>
          <w:szCs w:val="32"/>
        </w:rPr>
        <w:t>政府信息公开指南和主动公开目录</w:t>
      </w:r>
      <w:r>
        <w:rPr>
          <w:rFonts w:hint="eastAsia" w:ascii="仿宋" w:hAnsi="仿宋" w:eastAsia="仿宋" w:cs="仿宋"/>
          <w:sz w:val="32"/>
          <w:szCs w:val="32"/>
          <w:lang w:eastAsia="zh-CN"/>
        </w:rPr>
        <w:t>，明确任务分工，对发布内容、完成时限和公开方式提出详细要求；</w:t>
      </w:r>
      <w:r>
        <w:rPr>
          <w:rFonts w:hint="eastAsia" w:ascii="仿宋" w:hAnsi="仿宋" w:eastAsia="仿宋" w:cs="仿宋"/>
          <w:b w:val="0"/>
          <w:bCs w:val="0"/>
          <w:sz w:val="32"/>
          <w:szCs w:val="32"/>
          <w:lang w:eastAsia="zh-CN"/>
        </w:rPr>
        <w:t>实行保密审查制，</w:t>
      </w:r>
      <w:r>
        <w:rPr>
          <w:rFonts w:hint="eastAsia" w:ascii="仿宋" w:hAnsi="仿宋" w:eastAsia="仿宋" w:cs="仿宋"/>
          <w:sz w:val="32"/>
          <w:szCs w:val="32"/>
          <w:lang w:eastAsia="zh-CN"/>
        </w:rPr>
        <w:t>明确信息发布审查流程，采取科室领导、分管领导、保密负责人逐级审查方式，</w:t>
      </w:r>
      <w:r>
        <w:rPr>
          <w:rFonts w:hint="eastAsia" w:ascii="仿宋" w:hAnsi="仿宋" w:eastAsia="仿宋" w:cs="仿宋"/>
          <w:sz w:val="32"/>
          <w:szCs w:val="32"/>
        </w:rPr>
        <w:t>按照“谁发布、谁负责”的原则实行归口管理，承担发布内容保密安全主体责任</w:t>
      </w:r>
      <w:r>
        <w:rPr>
          <w:rFonts w:hint="eastAsia" w:ascii="仿宋" w:hAnsi="仿宋" w:eastAsia="仿宋" w:cs="仿宋"/>
          <w:sz w:val="32"/>
          <w:szCs w:val="32"/>
          <w:lang w:eastAsia="zh-CN"/>
        </w:rPr>
        <w:t>；</w:t>
      </w:r>
      <w:r>
        <w:rPr>
          <w:rFonts w:hint="eastAsia" w:ascii="仿宋" w:hAnsi="仿宋" w:eastAsia="仿宋" w:cs="仿宋"/>
          <w:b w:val="0"/>
          <w:bCs w:val="0"/>
          <w:sz w:val="32"/>
          <w:szCs w:val="32"/>
          <w:lang w:eastAsia="zh-CN"/>
        </w:rPr>
        <w:t>注重</w:t>
      </w:r>
      <w:r>
        <w:rPr>
          <w:rFonts w:hint="eastAsia" w:ascii="仿宋" w:hAnsi="仿宋" w:eastAsia="仿宋" w:cs="仿宋"/>
          <w:b w:val="0"/>
          <w:bCs w:val="0"/>
          <w:sz w:val="32"/>
          <w:szCs w:val="32"/>
          <w:lang w:val="en-US" w:eastAsia="zh-CN"/>
        </w:rPr>
        <w:t>信息</w:t>
      </w:r>
      <w:r>
        <w:rPr>
          <w:rFonts w:hint="eastAsia" w:ascii="仿宋" w:hAnsi="仿宋" w:eastAsia="仿宋" w:cs="仿宋"/>
          <w:b w:val="0"/>
          <w:bCs w:val="0"/>
          <w:sz w:val="32"/>
          <w:szCs w:val="32"/>
          <w:lang w:eastAsia="zh-CN"/>
        </w:rPr>
        <w:t>公开质量，</w:t>
      </w:r>
      <w:r>
        <w:rPr>
          <w:rFonts w:hint="eastAsia" w:ascii="仿宋" w:hAnsi="仿宋" w:eastAsia="仿宋" w:cs="仿宋"/>
          <w:sz w:val="32"/>
          <w:szCs w:val="32"/>
        </w:rPr>
        <w:t>规范公开信息的采集、编辑、公开程序</w:t>
      </w:r>
      <w:r>
        <w:rPr>
          <w:rFonts w:hint="eastAsia" w:ascii="仿宋" w:hAnsi="仿宋" w:eastAsia="仿宋" w:cs="仿宋"/>
          <w:sz w:val="32"/>
          <w:szCs w:val="32"/>
          <w:lang w:eastAsia="zh-CN"/>
        </w:rPr>
        <w:t>和对公开内容的审核，</w:t>
      </w:r>
      <w:r>
        <w:rPr>
          <w:rFonts w:hint="eastAsia" w:ascii="仿宋" w:hAnsi="仿宋" w:eastAsia="仿宋" w:cs="仿宋"/>
          <w:sz w:val="32"/>
          <w:szCs w:val="32"/>
          <w:lang w:val="en-US" w:eastAsia="zh-CN"/>
        </w:rPr>
        <w:t>规范发布流程，确保信息公布及时、准确；</w:t>
      </w:r>
      <w:r>
        <w:rPr>
          <w:rFonts w:hint="eastAsia" w:ascii="仿宋" w:hAnsi="仿宋" w:eastAsia="仿宋" w:cs="仿宋"/>
          <w:sz w:val="32"/>
          <w:szCs w:val="32"/>
          <w:lang w:eastAsia="zh-CN"/>
        </w:rPr>
        <w:t>规范执行规范性文件办理流程，严格落实发布审核、意见征集、政策解读等环节，</w:t>
      </w:r>
      <w:r>
        <w:rPr>
          <w:rFonts w:hint="eastAsia" w:ascii="仿宋" w:hAnsi="仿宋" w:eastAsia="仿宋" w:cs="仿宋"/>
          <w:sz w:val="32"/>
          <w:szCs w:val="32"/>
          <w:lang w:val="en-US" w:eastAsia="zh-CN"/>
        </w:rPr>
        <w:t>及时公开规范性文件清理结果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2023年信息管理</w:t>
      </w:r>
      <w:r>
        <w:rPr>
          <w:rFonts w:hint="eastAsia" w:ascii="仿宋" w:hAnsi="仿宋" w:eastAsia="仿宋" w:cs="仿宋"/>
          <w:sz w:val="32"/>
          <w:szCs w:val="32"/>
          <w:lang w:eastAsia="zh-CN"/>
        </w:rPr>
        <w:t>做到制度完善、流程规范，信息发布及时、准确、安全。</w:t>
      </w:r>
    </w:p>
    <w:p>
      <w:pPr>
        <w:ind w:firstLine="643" w:firstLineChars="200"/>
        <w:rPr>
          <w:rFonts w:hint="eastAsia" w:ascii="仿宋" w:hAnsi="仿宋" w:eastAsia="仿宋" w:cs="仿宋"/>
          <w:color w:val="auto"/>
          <w:sz w:val="32"/>
          <w:szCs w:val="32"/>
          <w:lang w:eastAsia="zh-CN"/>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平台建设情况。</w:t>
      </w:r>
      <w:r>
        <w:rPr>
          <w:rFonts w:hint="eastAsia" w:ascii="仿宋" w:hAnsi="仿宋" w:eastAsia="仿宋" w:cs="仿宋"/>
          <w:b w:val="0"/>
          <w:bCs w:val="0"/>
          <w:sz w:val="32"/>
          <w:szCs w:val="32"/>
          <w:lang w:val="en-US" w:eastAsia="zh-CN"/>
        </w:rPr>
        <w:t>市体育局</w:t>
      </w:r>
      <w:r>
        <w:rPr>
          <w:rFonts w:hint="eastAsia" w:ascii="仿宋" w:hAnsi="仿宋" w:eastAsia="仿宋" w:cs="仿宋"/>
          <w:sz w:val="32"/>
          <w:szCs w:val="32"/>
          <w:lang w:eastAsia="zh-CN"/>
        </w:rPr>
        <w:t>强化信息公开平台建设，</w:t>
      </w:r>
      <w:r>
        <w:rPr>
          <w:rFonts w:hint="eastAsia" w:ascii="仿宋" w:hAnsi="仿宋" w:eastAsia="仿宋" w:cs="仿宋"/>
          <w:sz w:val="32"/>
          <w:szCs w:val="32"/>
          <w:lang w:val="en-US" w:eastAsia="zh-CN"/>
        </w:rPr>
        <w:t>挑选责任心强，业务素质高的人员专项负责政务公开专栏工作开展，另挑选两名采编能力强的人员负责局官方网站栏目调整、内容更新工作，除了政务公开、业务专栏外，还开设办事服务、政策法规、</w:t>
      </w:r>
      <w:r>
        <w:rPr>
          <w:rFonts w:hint="eastAsia" w:ascii="仿宋" w:hAnsi="仿宋" w:eastAsia="仿宋" w:cs="仿宋"/>
          <w:sz w:val="32"/>
          <w:szCs w:val="32"/>
          <w:lang w:eastAsia="zh-CN"/>
        </w:rPr>
        <w:t>浏览查询、局长信箱互动交流等栏目，</w:t>
      </w:r>
      <w:r>
        <w:rPr>
          <w:rFonts w:hint="eastAsia" w:ascii="仿宋" w:hAnsi="仿宋" w:eastAsia="仿宋" w:cs="仿宋"/>
          <w:sz w:val="32"/>
          <w:szCs w:val="32"/>
        </w:rPr>
        <w:t>充分发挥</w:t>
      </w:r>
      <w:r>
        <w:rPr>
          <w:rFonts w:hint="eastAsia" w:ascii="仿宋" w:hAnsi="仿宋" w:eastAsia="仿宋" w:cs="仿宋"/>
          <w:sz w:val="32"/>
          <w:szCs w:val="32"/>
          <w:lang w:val="en-US" w:eastAsia="zh-CN"/>
        </w:rPr>
        <w:t>了</w:t>
      </w:r>
      <w:r>
        <w:rPr>
          <w:rFonts w:hint="eastAsia" w:ascii="仿宋" w:hAnsi="仿宋" w:eastAsia="仿宋" w:cs="仿宋"/>
          <w:sz w:val="32"/>
          <w:szCs w:val="32"/>
        </w:rPr>
        <w:t>传统媒体</w:t>
      </w:r>
      <w:r>
        <w:rPr>
          <w:rFonts w:hint="eastAsia" w:ascii="仿宋" w:hAnsi="仿宋" w:eastAsia="仿宋" w:cs="仿宋"/>
          <w:sz w:val="32"/>
          <w:szCs w:val="32"/>
          <w:lang w:val="en-US" w:eastAsia="zh-CN"/>
        </w:rPr>
        <w:t>宣传</w:t>
      </w:r>
      <w:r>
        <w:rPr>
          <w:rFonts w:hint="eastAsia" w:ascii="仿宋" w:hAnsi="仿宋" w:eastAsia="仿宋" w:cs="仿宋"/>
          <w:sz w:val="32"/>
          <w:szCs w:val="32"/>
        </w:rPr>
        <w:t>作用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注重新媒体平台的建设应用，</w:t>
      </w:r>
      <w:r>
        <w:rPr>
          <w:rFonts w:hint="eastAsia" w:ascii="仿宋" w:hAnsi="仿宋" w:eastAsia="仿宋" w:cs="仿宋"/>
          <w:color w:val="auto"/>
          <w:sz w:val="32"/>
          <w:szCs w:val="32"/>
          <w:lang w:eastAsia="zh-CN"/>
        </w:rPr>
        <w:t>积极</w:t>
      </w:r>
      <w:r>
        <w:rPr>
          <w:rFonts w:hint="eastAsia" w:ascii="仿宋" w:hAnsi="仿宋" w:eastAsia="仿宋" w:cs="仿宋"/>
          <w:color w:val="auto"/>
          <w:sz w:val="32"/>
          <w:szCs w:val="32"/>
        </w:rPr>
        <w:t>运维政务微博和微信公众号，</w:t>
      </w:r>
      <w:r>
        <w:rPr>
          <w:rFonts w:hint="eastAsia" w:ascii="仿宋" w:hAnsi="仿宋" w:eastAsia="仿宋" w:cs="仿宋"/>
          <w:color w:val="auto"/>
          <w:sz w:val="32"/>
          <w:szCs w:val="32"/>
          <w:lang w:eastAsia="zh-CN"/>
        </w:rPr>
        <w:t>充分利用政府新闻网，对于重点领域信息及时召开新闻发布会，</w:t>
      </w:r>
      <w:r>
        <w:rPr>
          <w:rFonts w:hint="eastAsia" w:ascii="仿宋" w:hAnsi="仿宋" w:eastAsia="仿宋" w:cs="仿宋"/>
          <w:color w:val="auto"/>
          <w:sz w:val="32"/>
          <w:szCs w:val="32"/>
        </w:rPr>
        <w:t>不断拓宽信息公开渠道。</w:t>
      </w:r>
      <w:r>
        <w:rPr>
          <w:rFonts w:hint="eastAsia" w:ascii="仿宋" w:hAnsi="仿宋" w:eastAsia="仿宋" w:cs="仿宋"/>
          <w:color w:val="auto"/>
          <w:sz w:val="32"/>
          <w:szCs w:val="32"/>
          <w:lang w:val="en-US" w:eastAsia="zh-CN"/>
        </w:rPr>
        <w:t>充分利用政务大厅服务平台，进行政策宣讲和服务指南引导。积极筹建“淄博市体育局数字体育平台”，创设智慧化体育平台，实现动态体育信息共享互动链接，提高群众对体育锻炼需求的服务质量。</w:t>
      </w:r>
      <w:r>
        <w:rPr>
          <w:rFonts w:hint="eastAsia" w:ascii="仿宋" w:hAnsi="仿宋" w:eastAsia="仿宋" w:cs="仿宋"/>
          <w:sz w:val="32"/>
          <w:szCs w:val="32"/>
        </w:rPr>
        <w:t>在局机关2</w:t>
      </w:r>
      <w:r>
        <w:rPr>
          <w:rFonts w:hint="eastAsia" w:ascii="仿宋" w:hAnsi="仿宋" w:eastAsia="仿宋" w:cs="仿宋"/>
          <w:sz w:val="32"/>
          <w:szCs w:val="32"/>
          <w:lang w:val="en-US" w:eastAsia="zh-CN"/>
        </w:rPr>
        <w:t>12</w:t>
      </w:r>
      <w:r>
        <w:rPr>
          <w:rFonts w:hint="eastAsia" w:ascii="仿宋" w:hAnsi="仿宋" w:eastAsia="仿宋" w:cs="仿宋"/>
          <w:sz w:val="32"/>
          <w:szCs w:val="32"/>
        </w:rPr>
        <w:t>室设有政府信息公开查阅点，公民、法人或者其他组织可以到该查阅点查阅本机关主动公开的政府信息</w:t>
      </w:r>
      <w:r>
        <w:rPr>
          <w:rFonts w:hint="eastAsia" w:ascii="仿宋" w:hAnsi="仿宋" w:eastAsia="仿宋" w:cs="仿宋"/>
          <w:sz w:val="32"/>
          <w:szCs w:val="32"/>
          <w:lang w:eastAsia="zh-CN"/>
        </w:rPr>
        <w:t>。</w:t>
      </w:r>
      <w:r>
        <w:rPr>
          <w:rFonts w:hint="eastAsia" w:ascii="仿宋" w:hAnsi="仿宋" w:eastAsia="仿宋" w:cs="仿宋"/>
          <w:color w:val="auto"/>
          <w:sz w:val="32"/>
          <w:szCs w:val="32"/>
        </w:rPr>
        <w:t>全年在政府网站公开</w:t>
      </w:r>
      <w:r>
        <w:rPr>
          <w:rFonts w:hint="eastAsia" w:ascii="仿宋" w:hAnsi="仿宋" w:eastAsia="仿宋" w:cs="仿宋"/>
          <w:color w:val="auto"/>
          <w:sz w:val="32"/>
          <w:szCs w:val="32"/>
          <w:lang w:val="en-US" w:eastAsia="zh-CN"/>
        </w:rPr>
        <w:t>710</w:t>
      </w:r>
      <w:r>
        <w:rPr>
          <w:rFonts w:hint="eastAsia" w:ascii="仿宋" w:hAnsi="仿宋" w:eastAsia="仿宋" w:cs="仿宋"/>
          <w:color w:val="auto"/>
          <w:sz w:val="32"/>
          <w:szCs w:val="32"/>
        </w:rPr>
        <w:t>条，政务微博公开</w:t>
      </w:r>
      <w:r>
        <w:rPr>
          <w:rFonts w:hint="eastAsia" w:ascii="仿宋" w:hAnsi="仿宋" w:eastAsia="仿宋" w:cs="仿宋"/>
          <w:color w:val="auto"/>
          <w:sz w:val="32"/>
          <w:szCs w:val="32"/>
          <w:lang w:val="en-US" w:eastAsia="zh-CN"/>
        </w:rPr>
        <w:t>169</w:t>
      </w:r>
      <w:r>
        <w:rPr>
          <w:rFonts w:hint="eastAsia" w:ascii="仿宋" w:hAnsi="仿宋" w:eastAsia="仿宋" w:cs="仿宋"/>
          <w:color w:val="auto"/>
          <w:sz w:val="32"/>
          <w:szCs w:val="32"/>
        </w:rPr>
        <w:t>条,政务微信公开</w:t>
      </w:r>
      <w:r>
        <w:rPr>
          <w:rFonts w:hint="eastAsia" w:ascii="仿宋" w:hAnsi="仿宋" w:eastAsia="仿宋" w:cs="仿宋"/>
          <w:color w:val="auto"/>
          <w:sz w:val="32"/>
          <w:szCs w:val="32"/>
          <w:lang w:val="en-US" w:eastAsia="zh-CN"/>
        </w:rPr>
        <w:t>597</w:t>
      </w:r>
      <w:r>
        <w:rPr>
          <w:rFonts w:hint="eastAsia" w:ascii="仿宋" w:hAnsi="仿宋" w:eastAsia="仿宋" w:cs="仿宋"/>
          <w:color w:val="auto"/>
          <w:sz w:val="32"/>
          <w:szCs w:val="32"/>
        </w:rPr>
        <w:t>条，</w:t>
      </w:r>
      <w:r>
        <w:rPr>
          <w:rFonts w:hint="eastAsia" w:ascii="仿宋" w:hAnsi="仿宋" w:eastAsia="仿宋" w:cs="仿宋"/>
          <w:color w:val="auto"/>
          <w:sz w:val="32"/>
          <w:szCs w:val="32"/>
          <w:lang w:eastAsia="zh-CN"/>
        </w:rPr>
        <w:t>召开</w:t>
      </w:r>
      <w:r>
        <w:rPr>
          <w:rFonts w:hint="eastAsia" w:ascii="仿宋" w:hAnsi="仿宋" w:eastAsia="仿宋" w:cs="仿宋"/>
          <w:color w:val="auto"/>
          <w:sz w:val="32"/>
          <w:szCs w:val="32"/>
        </w:rPr>
        <w:t>新闻</w:t>
      </w:r>
      <w:r>
        <w:rPr>
          <w:rFonts w:hint="eastAsia" w:ascii="仿宋" w:hAnsi="仿宋" w:eastAsia="仿宋" w:cs="仿宋"/>
          <w:color w:val="auto"/>
          <w:sz w:val="32"/>
          <w:szCs w:val="32"/>
          <w:lang w:eastAsia="zh-CN"/>
        </w:rPr>
        <w:t>发布会</w:t>
      </w:r>
      <w:r>
        <w:rPr>
          <w:rFonts w:hint="eastAsia" w:ascii="仿宋" w:hAnsi="仿宋" w:eastAsia="仿宋" w:cs="仿宋"/>
          <w:color w:val="auto"/>
          <w:sz w:val="32"/>
          <w:szCs w:val="32"/>
          <w:lang w:val="en-US" w:eastAsia="zh-CN"/>
        </w:rPr>
        <w:t>4场</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5.</w:t>
      </w:r>
      <w:r>
        <w:rPr>
          <w:rFonts w:hint="eastAsia" w:ascii="楷体" w:hAnsi="楷体" w:eastAsia="楷体" w:cs="楷体"/>
          <w:b/>
          <w:bCs/>
          <w:sz w:val="32"/>
          <w:szCs w:val="32"/>
        </w:rPr>
        <w:t>监督保障情况。</w:t>
      </w:r>
      <w:r>
        <w:rPr>
          <w:rFonts w:hint="eastAsia" w:ascii="仿宋" w:hAnsi="仿宋" w:eastAsia="仿宋" w:cs="仿宋"/>
          <w:sz w:val="32"/>
          <w:szCs w:val="32"/>
          <w:lang w:val="en-US" w:eastAsia="zh-CN"/>
        </w:rPr>
        <w:t>市体育局重监督保障，提高工作实效。注重组织领导，充分发挥领导小组组织作用，先后召开</w:t>
      </w:r>
      <w:r>
        <w:rPr>
          <w:rFonts w:hint="eastAsia" w:ascii="仿宋" w:hAnsi="仿宋" w:eastAsia="仿宋" w:cs="仿宋"/>
          <w:color w:val="000222"/>
          <w:spacing w:val="0"/>
          <w:sz w:val="32"/>
          <w:szCs w:val="32"/>
          <w:shd w:val="clear" w:fill="FFFFFF"/>
          <w:lang w:val="en-US" w:eastAsia="zh-CN"/>
        </w:rPr>
        <w:t>党组会1次、</w:t>
      </w:r>
      <w:r>
        <w:rPr>
          <w:rFonts w:hint="eastAsia" w:ascii="仿宋" w:hAnsi="仿宋" w:eastAsia="仿宋" w:cs="仿宋"/>
          <w:sz w:val="32"/>
          <w:szCs w:val="32"/>
          <w:lang w:val="en-US" w:eastAsia="zh-CN"/>
        </w:rPr>
        <w:t>小组会议2次，重点研究制度建设和管理体制运行等重大问题。注重职责分工，</w:t>
      </w:r>
      <w:r>
        <w:rPr>
          <w:rFonts w:hint="eastAsia" w:ascii="仿宋" w:hAnsi="仿宋" w:eastAsia="仿宋" w:cs="仿宋"/>
          <w:color w:val="000222"/>
          <w:spacing w:val="0"/>
          <w:sz w:val="32"/>
          <w:szCs w:val="32"/>
          <w:shd w:val="clear" w:fill="FFFFFF"/>
          <w:lang w:val="en-US" w:eastAsia="zh-CN"/>
        </w:rPr>
        <w:t>做到</w:t>
      </w:r>
      <w:r>
        <w:rPr>
          <w:rFonts w:hint="eastAsia" w:ascii="仿宋" w:hAnsi="仿宋" w:eastAsia="仿宋" w:cs="仿宋"/>
          <w:sz w:val="32"/>
          <w:szCs w:val="32"/>
        </w:rPr>
        <w:t>领导、机构、人员“三到位”</w:t>
      </w:r>
      <w:r>
        <w:rPr>
          <w:rFonts w:hint="eastAsia" w:ascii="仿宋" w:hAnsi="仿宋" w:eastAsia="仿宋" w:cs="仿宋"/>
          <w:sz w:val="32"/>
          <w:szCs w:val="32"/>
          <w:lang w:eastAsia="zh-CN"/>
        </w:rPr>
        <w:t>，</w:t>
      </w:r>
      <w:r>
        <w:rPr>
          <w:rFonts w:hint="eastAsia" w:ascii="仿宋" w:hAnsi="仿宋" w:eastAsia="仿宋" w:cs="仿宋"/>
          <w:sz w:val="32"/>
          <w:szCs w:val="32"/>
        </w:rPr>
        <w:t>形成各负其责、相互配合、齐抓共管的</w:t>
      </w:r>
      <w:r>
        <w:rPr>
          <w:rFonts w:hint="eastAsia" w:ascii="仿宋" w:hAnsi="仿宋" w:eastAsia="仿宋" w:cs="仿宋"/>
          <w:color w:val="000222"/>
          <w:spacing w:val="0"/>
          <w:sz w:val="32"/>
          <w:szCs w:val="32"/>
          <w:shd w:val="clear" w:fill="FFFFFF"/>
        </w:rPr>
        <w:t>工作</w:t>
      </w:r>
      <w:r>
        <w:rPr>
          <w:rFonts w:hint="eastAsia" w:ascii="仿宋" w:hAnsi="仿宋" w:eastAsia="仿宋" w:cs="仿宋"/>
          <w:color w:val="000222"/>
          <w:spacing w:val="0"/>
          <w:sz w:val="32"/>
          <w:szCs w:val="32"/>
          <w:shd w:val="clear" w:fill="FFFFFF"/>
          <w:lang w:val="en-US" w:eastAsia="zh-CN"/>
        </w:rPr>
        <w:t>模式</w:t>
      </w:r>
      <w:bookmarkStart w:id="0" w:name="_GoBack"/>
      <w:bookmarkEnd w:id="0"/>
      <w:r>
        <w:rPr>
          <w:rFonts w:hint="eastAsia" w:ascii="仿宋" w:hAnsi="仿宋" w:eastAsia="仿宋" w:cs="仿宋"/>
          <w:color w:val="000222"/>
          <w:spacing w:val="0"/>
          <w:sz w:val="32"/>
          <w:szCs w:val="32"/>
          <w:shd w:val="clear" w:fill="FFFFFF"/>
          <w:lang w:val="en-US" w:eastAsia="zh-CN"/>
        </w:rPr>
        <w:t>。注重业务</w:t>
      </w:r>
      <w:r>
        <w:rPr>
          <w:rFonts w:hint="eastAsia" w:ascii="仿宋" w:hAnsi="仿宋" w:eastAsia="仿宋" w:cs="仿宋"/>
          <w:sz w:val="32"/>
          <w:szCs w:val="32"/>
          <w:lang w:eastAsia="zh-CN"/>
        </w:rPr>
        <w:t>培训，</w:t>
      </w:r>
      <w:r>
        <w:rPr>
          <w:rFonts w:hint="eastAsia" w:ascii="仿宋" w:hAnsi="仿宋" w:eastAsia="仿宋" w:cs="仿宋"/>
          <w:sz w:val="32"/>
          <w:szCs w:val="32"/>
          <w:lang w:val="en-US" w:eastAsia="zh-CN"/>
        </w:rPr>
        <w:t>制定年度计划</w:t>
      </w:r>
      <w:r>
        <w:rPr>
          <w:rFonts w:hint="eastAsia" w:ascii="仿宋" w:hAnsi="仿宋" w:eastAsia="仿宋" w:cs="仿宋"/>
          <w:sz w:val="32"/>
          <w:szCs w:val="32"/>
          <w:lang w:eastAsia="zh-CN"/>
        </w:rPr>
        <w:t>，组织业务培训会</w:t>
      </w:r>
      <w:r>
        <w:rPr>
          <w:rFonts w:hint="eastAsia" w:ascii="仿宋" w:hAnsi="仿宋" w:eastAsia="仿宋" w:cs="仿宋"/>
          <w:sz w:val="32"/>
          <w:szCs w:val="32"/>
          <w:lang w:val="en-US" w:eastAsia="zh-CN"/>
        </w:rPr>
        <w:t>2次</w:t>
      </w:r>
      <w:r>
        <w:rPr>
          <w:rFonts w:hint="eastAsia" w:ascii="仿宋" w:hAnsi="仿宋" w:eastAsia="仿宋" w:cs="仿宋"/>
          <w:sz w:val="32"/>
          <w:szCs w:val="32"/>
          <w:lang w:eastAsia="zh-CN"/>
        </w:rPr>
        <w:t>，不断提升了工作人员的业务水平。</w:t>
      </w:r>
      <w:r>
        <w:rPr>
          <w:rFonts w:hint="eastAsia" w:ascii="仿宋" w:hAnsi="仿宋" w:eastAsia="仿宋" w:cs="仿宋"/>
          <w:b w:val="0"/>
          <w:bCs w:val="0"/>
          <w:sz w:val="32"/>
          <w:szCs w:val="32"/>
          <w:lang w:eastAsia="zh-CN"/>
        </w:rPr>
        <w:t>实行月度督导制，以局长办公会内容为参照，梳理公开事项，月月督导，月月通报，确保公开及时，</w:t>
      </w:r>
      <w:r>
        <w:rPr>
          <w:rFonts w:hint="eastAsia" w:ascii="仿宋" w:hAnsi="仿宋" w:eastAsia="仿宋" w:cs="仿宋"/>
          <w:color w:val="000222"/>
          <w:spacing w:val="0"/>
          <w:sz w:val="32"/>
          <w:szCs w:val="32"/>
          <w:shd w:val="clear" w:fill="FFFFFF"/>
          <w:lang w:val="en-US" w:eastAsia="zh-CN"/>
        </w:rPr>
        <w:t>组织工作推进会4次</w:t>
      </w:r>
      <w:r>
        <w:rPr>
          <w:rFonts w:hint="eastAsia" w:ascii="仿宋" w:hAnsi="仿宋" w:eastAsia="仿宋" w:cs="仿宋"/>
          <w:b w:val="0"/>
          <w:bCs w:val="0"/>
          <w:sz w:val="32"/>
          <w:szCs w:val="32"/>
          <w:lang w:eastAsia="zh-CN"/>
        </w:rPr>
        <w:t>；实行及时整改制，针对问题，查找原因，采取措施，及时整改，杜绝问题再现。</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二、行政机关主动公开政府信息情况</w:t>
      </w:r>
    </w:p>
    <w:tbl>
      <w:tblPr>
        <w:tblStyle w:val="6"/>
        <w:tblW w:w="9098" w:type="dxa"/>
        <w:jc w:val="center"/>
        <w:shd w:val="clear" w:color="auto" w:fill="auto"/>
        <w:tblLayout w:type="fixed"/>
        <w:tblCellMar>
          <w:top w:w="0" w:type="dxa"/>
          <w:left w:w="0" w:type="dxa"/>
          <w:bottom w:w="0" w:type="dxa"/>
          <w:right w:w="0" w:type="dxa"/>
        </w:tblCellMar>
      </w:tblPr>
      <w:tblGrid>
        <w:gridCol w:w="1950"/>
        <w:gridCol w:w="1935"/>
        <w:gridCol w:w="2715"/>
        <w:gridCol w:w="2498"/>
      </w:tblGrid>
      <w:tr>
        <w:tblPrEx>
          <w:shd w:val="clear" w:color="auto" w:fill="auto"/>
          <w:tblCellMar>
            <w:top w:w="0" w:type="dxa"/>
            <w:left w:w="0" w:type="dxa"/>
            <w:bottom w:w="0" w:type="dxa"/>
            <w:right w:w="0" w:type="dxa"/>
          </w:tblCellMar>
        </w:tblPrEx>
        <w:trPr>
          <w:trHeight w:val="555" w:hRule="atLeast"/>
          <w:jc w:val="center"/>
        </w:trPr>
        <w:tc>
          <w:tcPr>
            <w:tcW w:w="9098" w:type="dxa"/>
            <w:gridSpan w:val="4"/>
            <w:tcBorders>
              <w:top w:val="single" w:color="auto" w:sz="8" w:space="0"/>
              <w:left w:val="single" w:color="auto" w:sz="8" w:space="0"/>
              <w:bottom w:val="single" w:color="auto" w:sz="8" w:space="0"/>
              <w:right w:val="single" w:color="auto" w:sz="8" w:space="0"/>
            </w:tcBorders>
            <w:shd w:val="clear" w:color="auto" w:fill="C6D9F1"/>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第二十条第（一）项</w:t>
            </w:r>
          </w:p>
        </w:tc>
      </w:tr>
      <w:tr>
        <w:tblPrEx>
          <w:shd w:val="clear" w:color="auto" w:fill="auto"/>
          <w:tblCellMar>
            <w:top w:w="0" w:type="dxa"/>
            <w:left w:w="0" w:type="dxa"/>
            <w:bottom w:w="0" w:type="dxa"/>
            <w:right w:w="0" w:type="dxa"/>
          </w:tblCellMar>
        </w:tblPrEx>
        <w:trPr>
          <w:trHeight w:val="94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信息内容</w:t>
            </w:r>
          </w:p>
        </w:tc>
        <w:tc>
          <w:tcPr>
            <w:tcW w:w="193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本年发件数</w:t>
            </w:r>
          </w:p>
        </w:tc>
        <w:tc>
          <w:tcPr>
            <w:tcW w:w="2715"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本年废止件数</w:t>
            </w:r>
          </w:p>
        </w:tc>
        <w:tc>
          <w:tcPr>
            <w:tcW w:w="249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现行有效件数</w:t>
            </w:r>
          </w:p>
        </w:tc>
      </w:tr>
      <w:tr>
        <w:tblPrEx>
          <w:shd w:val="clear" w:color="auto" w:fill="auto"/>
          <w:tblCellMar>
            <w:top w:w="0" w:type="dxa"/>
            <w:left w:w="0" w:type="dxa"/>
            <w:bottom w:w="0" w:type="dxa"/>
            <w:right w:w="0" w:type="dxa"/>
          </w:tblCellMar>
        </w:tblPrEx>
        <w:trPr>
          <w:trHeight w:val="58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规章</w:t>
            </w:r>
          </w:p>
        </w:tc>
        <w:tc>
          <w:tcPr>
            <w:tcW w:w="19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0</w:t>
            </w:r>
          </w:p>
        </w:tc>
        <w:tc>
          <w:tcPr>
            <w:tcW w:w="271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0</w:t>
            </w:r>
          </w:p>
        </w:tc>
        <w:tc>
          <w:tcPr>
            <w:tcW w:w="249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0</w:t>
            </w:r>
          </w:p>
        </w:tc>
      </w:tr>
      <w:tr>
        <w:tblPrEx>
          <w:shd w:val="clear" w:color="auto" w:fill="auto"/>
          <w:tblCellMar>
            <w:top w:w="0" w:type="dxa"/>
            <w:left w:w="0" w:type="dxa"/>
            <w:bottom w:w="0" w:type="dxa"/>
            <w:right w:w="0" w:type="dxa"/>
          </w:tblCellMar>
        </w:tblPrEx>
        <w:trPr>
          <w:trHeight w:val="55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行政规范性文件</w:t>
            </w:r>
          </w:p>
        </w:tc>
        <w:tc>
          <w:tcPr>
            <w:tcW w:w="193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0</w:t>
            </w:r>
          </w:p>
        </w:tc>
        <w:tc>
          <w:tcPr>
            <w:tcW w:w="271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0</w:t>
            </w:r>
          </w:p>
        </w:tc>
        <w:tc>
          <w:tcPr>
            <w:tcW w:w="249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1</w:t>
            </w:r>
          </w:p>
        </w:tc>
      </w:tr>
      <w:tr>
        <w:tblPrEx>
          <w:shd w:val="clear" w:color="auto" w:fill="auto"/>
          <w:tblCellMar>
            <w:top w:w="0" w:type="dxa"/>
            <w:left w:w="0" w:type="dxa"/>
            <w:bottom w:w="0" w:type="dxa"/>
            <w:right w:w="0" w:type="dxa"/>
          </w:tblCellMar>
        </w:tblPrEx>
        <w:trPr>
          <w:trHeight w:val="555" w:hRule="atLeast"/>
          <w:jc w:val="center"/>
        </w:trPr>
        <w:tc>
          <w:tcPr>
            <w:tcW w:w="9098" w:type="dxa"/>
            <w:gridSpan w:val="4"/>
            <w:tcBorders>
              <w:top w:val="nil"/>
              <w:left w:val="single" w:color="auto" w:sz="8" w:space="0"/>
              <w:bottom w:val="single" w:color="auto" w:sz="8" w:space="0"/>
              <w:right w:val="single" w:color="auto" w:sz="8" w:space="0"/>
            </w:tcBorders>
            <w:shd w:val="clear" w:color="auto" w:fill="C6D9F1"/>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第二十条第（五）项</w:t>
            </w:r>
          </w:p>
        </w:tc>
      </w:tr>
      <w:tr>
        <w:tblPrEx>
          <w:shd w:val="clear" w:color="auto" w:fill="auto"/>
          <w:tblCellMar>
            <w:top w:w="0" w:type="dxa"/>
            <w:left w:w="0" w:type="dxa"/>
            <w:bottom w:w="0" w:type="dxa"/>
            <w:right w:w="0" w:type="dxa"/>
          </w:tblCellMar>
        </w:tblPrEx>
        <w:trPr>
          <w:trHeight w:val="690"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信息内容</w:t>
            </w:r>
          </w:p>
        </w:tc>
        <w:tc>
          <w:tcPr>
            <w:tcW w:w="7148" w:type="dxa"/>
            <w:gridSpan w:val="3"/>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0"/>
              <w:jc w:val="both"/>
              <w:rPr>
                <w:sz w:val="24"/>
                <w:szCs w:val="24"/>
              </w:rPr>
            </w:pPr>
            <w:r>
              <w:rPr>
                <w:rFonts w:hint="eastAsia" w:ascii="宋体" w:hAnsi="宋体" w:eastAsia="宋体" w:cs="宋体"/>
                <w:caps w:val="0"/>
                <w:color w:val="3D3D3D"/>
                <w:spacing w:val="0"/>
                <w:sz w:val="22"/>
                <w:szCs w:val="22"/>
              </w:rPr>
              <w:t>本年处理决定数量</w:t>
            </w:r>
          </w:p>
        </w:tc>
      </w:tr>
      <w:tr>
        <w:tblPrEx>
          <w:tblCellMar>
            <w:top w:w="0" w:type="dxa"/>
            <w:left w:w="0" w:type="dxa"/>
            <w:bottom w:w="0" w:type="dxa"/>
            <w:right w:w="0" w:type="dxa"/>
          </w:tblCellMar>
        </w:tblPrEx>
        <w:trPr>
          <w:trHeight w:val="870"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行政许可</w:t>
            </w:r>
          </w:p>
        </w:tc>
        <w:tc>
          <w:tcPr>
            <w:tcW w:w="7148" w:type="dxa"/>
            <w:gridSpan w:val="3"/>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555" w:hRule="atLeast"/>
          <w:jc w:val="center"/>
        </w:trPr>
        <w:tc>
          <w:tcPr>
            <w:tcW w:w="9098" w:type="dxa"/>
            <w:gridSpan w:val="4"/>
            <w:tcBorders>
              <w:top w:val="nil"/>
              <w:left w:val="single" w:color="auto" w:sz="8" w:space="0"/>
              <w:bottom w:val="single" w:color="auto" w:sz="8" w:space="0"/>
              <w:right w:val="single" w:color="auto" w:sz="8" w:space="0"/>
            </w:tcBorders>
            <w:shd w:val="clear" w:color="auto" w:fill="C6D9F1"/>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第二十条第（六）项</w:t>
            </w:r>
          </w:p>
        </w:tc>
      </w:tr>
      <w:tr>
        <w:tblPrEx>
          <w:shd w:val="clear" w:color="auto" w:fill="auto"/>
          <w:tblCellMar>
            <w:top w:w="0" w:type="dxa"/>
            <w:left w:w="0" w:type="dxa"/>
            <w:bottom w:w="0" w:type="dxa"/>
            <w:right w:w="0" w:type="dxa"/>
          </w:tblCellMar>
        </w:tblPrEx>
        <w:trPr>
          <w:trHeight w:val="690"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信息内容</w:t>
            </w:r>
          </w:p>
        </w:tc>
        <w:tc>
          <w:tcPr>
            <w:tcW w:w="7148" w:type="dxa"/>
            <w:gridSpan w:val="3"/>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本年处理决定数量</w:t>
            </w:r>
          </w:p>
        </w:tc>
      </w:tr>
      <w:tr>
        <w:tblPrEx>
          <w:tblCellMar>
            <w:top w:w="0" w:type="dxa"/>
            <w:left w:w="0" w:type="dxa"/>
            <w:bottom w:w="0" w:type="dxa"/>
            <w:right w:w="0" w:type="dxa"/>
          </w:tblCellMar>
        </w:tblPrEx>
        <w:trPr>
          <w:trHeight w:val="55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行政处罚</w:t>
            </w:r>
          </w:p>
        </w:tc>
        <w:tc>
          <w:tcPr>
            <w:tcW w:w="7148" w:type="dxa"/>
            <w:gridSpan w:val="3"/>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0</w:t>
            </w:r>
          </w:p>
        </w:tc>
      </w:tr>
      <w:tr>
        <w:tblPrEx>
          <w:tblCellMar>
            <w:top w:w="0" w:type="dxa"/>
            <w:left w:w="0" w:type="dxa"/>
            <w:bottom w:w="0" w:type="dxa"/>
            <w:right w:w="0" w:type="dxa"/>
          </w:tblCellMar>
        </w:tblPrEx>
        <w:trPr>
          <w:trHeight w:val="55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行政强制</w:t>
            </w:r>
          </w:p>
        </w:tc>
        <w:tc>
          <w:tcPr>
            <w:tcW w:w="7148" w:type="dxa"/>
            <w:gridSpan w:val="3"/>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24"/>
                <w:szCs w:val="24"/>
              </w:rPr>
              <w:t>0</w:t>
            </w:r>
          </w:p>
        </w:tc>
      </w:tr>
      <w:tr>
        <w:tblPrEx>
          <w:shd w:val="clear" w:color="auto" w:fill="auto"/>
          <w:tblCellMar>
            <w:top w:w="0" w:type="dxa"/>
            <w:left w:w="0" w:type="dxa"/>
            <w:bottom w:w="0" w:type="dxa"/>
            <w:right w:w="0" w:type="dxa"/>
          </w:tblCellMar>
        </w:tblPrEx>
        <w:trPr>
          <w:trHeight w:val="555" w:hRule="atLeast"/>
          <w:jc w:val="center"/>
        </w:trPr>
        <w:tc>
          <w:tcPr>
            <w:tcW w:w="9098" w:type="dxa"/>
            <w:gridSpan w:val="4"/>
            <w:tcBorders>
              <w:top w:val="nil"/>
              <w:left w:val="single" w:color="auto" w:sz="8" w:space="0"/>
              <w:bottom w:val="single" w:color="auto" w:sz="8" w:space="0"/>
              <w:right w:val="single" w:color="auto" w:sz="8" w:space="0"/>
            </w:tcBorders>
            <w:shd w:val="clear" w:color="auto" w:fill="C6D9F1"/>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第二十条第（八）项</w:t>
            </w:r>
          </w:p>
        </w:tc>
      </w:tr>
      <w:tr>
        <w:tblPrEx>
          <w:tblCellMar>
            <w:top w:w="0" w:type="dxa"/>
            <w:left w:w="0" w:type="dxa"/>
            <w:bottom w:w="0" w:type="dxa"/>
            <w:right w:w="0" w:type="dxa"/>
          </w:tblCellMar>
        </w:tblPrEx>
        <w:trPr>
          <w:trHeight w:val="55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信息内容</w:t>
            </w:r>
          </w:p>
        </w:tc>
        <w:tc>
          <w:tcPr>
            <w:tcW w:w="7148" w:type="dxa"/>
            <w:gridSpan w:val="3"/>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24"/>
                <w:szCs w:val="24"/>
              </w:rPr>
              <w:t>本年收费金额（单位：万元）</w:t>
            </w:r>
          </w:p>
        </w:tc>
      </w:tr>
      <w:tr>
        <w:tblPrEx>
          <w:tblCellMar>
            <w:top w:w="0" w:type="dxa"/>
            <w:left w:w="0" w:type="dxa"/>
            <w:bottom w:w="0" w:type="dxa"/>
            <w:right w:w="0" w:type="dxa"/>
          </w:tblCellMar>
        </w:tblPrEx>
        <w:trPr>
          <w:trHeight w:val="615" w:hRule="atLeast"/>
          <w:jc w:val="center"/>
        </w:trPr>
        <w:tc>
          <w:tcPr>
            <w:tcW w:w="195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行政事业性收费</w:t>
            </w:r>
          </w:p>
        </w:tc>
        <w:tc>
          <w:tcPr>
            <w:tcW w:w="7148" w:type="dxa"/>
            <w:gridSpan w:val="3"/>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0</w:t>
            </w:r>
          </w:p>
        </w:tc>
      </w:tr>
    </w:tbl>
    <w:p>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6"/>
        <w:tblW w:w="9366" w:type="dxa"/>
        <w:jc w:val="center"/>
        <w:shd w:val="clear" w:color="auto" w:fill="auto"/>
        <w:tblLayout w:type="fixed"/>
        <w:tblCellMar>
          <w:top w:w="0" w:type="dxa"/>
          <w:left w:w="0" w:type="dxa"/>
          <w:bottom w:w="0" w:type="dxa"/>
          <w:right w:w="0" w:type="dxa"/>
        </w:tblCellMar>
      </w:tblPr>
      <w:tblGrid>
        <w:gridCol w:w="473"/>
        <w:gridCol w:w="930"/>
        <w:gridCol w:w="3120"/>
        <w:gridCol w:w="584"/>
        <w:gridCol w:w="658"/>
        <w:gridCol w:w="673"/>
        <w:gridCol w:w="837"/>
        <w:gridCol w:w="673"/>
        <w:gridCol w:w="748"/>
        <w:gridCol w:w="670"/>
      </w:tblGrid>
      <w:tr>
        <w:tblPrEx>
          <w:shd w:val="clear" w:color="auto" w:fill="auto"/>
          <w:tblCellMar>
            <w:top w:w="0" w:type="dxa"/>
            <w:left w:w="0" w:type="dxa"/>
            <w:bottom w:w="0" w:type="dxa"/>
            <w:right w:w="0" w:type="dxa"/>
          </w:tblCellMar>
        </w:tblPrEx>
        <w:trPr>
          <w:trHeight w:val="540" w:hRule="atLeast"/>
          <w:jc w:val="center"/>
        </w:trPr>
        <w:tc>
          <w:tcPr>
            <w:tcW w:w="4523"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申请人情况</w:t>
            </w:r>
          </w:p>
        </w:tc>
      </w:tr>
      <w:tr>
        <w:tblPrEx>
          <w:shd w:val="clear" w:color="auto" w:fill="auto"/>
          <w:tblCellMar>
            <w:top w:w="0" w:type="dxa"/>
            <w:left w:w="0" w:type="dxa"/>
            <w:bottom w:w="0" w:type="dxa"/>
            <w:right w:w="0" w:type="dxa"/>
          </w:tblCellMar>
        </w:tblPrEx>
        <w:trPr>
          <w:trHeight w:val="540" w:hRule="atLeast"/>
          <w:jc w:val="center"/>
        </w:trPr>
        <w:tc>
          <w:tcPr>
            <w:tcW w:w="452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584"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人</w:t>
            </w:r>
          </w:p>
        </w:tc>
        <w:tc>
          <w:tcPr>
            <w:tcW w:w="3589"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法人或其他组织</w:t>
            </w:r>
          </w:p>
        </w:tc>
        <w:tc>
          <w:tcPr>
            <w:tcW w:w="67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计</w:t>
            </w:r>
          </w:p>
        </w:tc>
      </w:tr>
      <w:tr>
        <w:tblPrEx>
          <w:shd w:val="clear" w:color="auto" w:fill="auto"/>
          <w:tblCellMar>
            <w:top w:w="0" w:type="dxa"/>
            <w:left w:w="0" w:type="dxa"/>
            <w:bottom w:w="0" w:type="dxa"/>
            <w:right w:w="0" w:type="dxa"/>
          </w:tblCellMar>
        </w:tblPrEx>
        <w:trPr>
          <w:trHeight w:val="1170" w:hRule="atLeast"/>
          <w:jc w:val="center"/>
        </w:trPr>
        <w:tc>
          <w:tcPr>
            <w:tcW w:w="452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584"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商业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企业</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科研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机构</w:t>
            </w:r>
          </w:p>
        </w:tc>
        <w:tc>
          <w:tcPr>
            <w:tcW w:w="837"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社会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公益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组织</w:t>
            </w:r>
          </w:p>
        </w:tc>
        <w:tc>
          <w:tcPr>
            <w:tcW w:w="673"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法律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机构</w:t>
            </w:r>
          </w:p>
        </w:tc>
        <w:tc>
          <w:tcPr>
            <w:tcW w:w="74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其他</w:t>
            </w:r>
          </w:p>
        </w:tc>
        <w:tc>
          <w:tcPr>
            <w:tcW w:w="67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r>
      <w:tr>
        <w:tblPrEx>
          <w:shd w:val="clear" w:color="auto" w:fill="auto"/>
          <w:tblCellMar>
            <w:top w:w="0" w:type="dxa"/>
            <w:left w:w="0" w:type="dxa"/>
            <w:bottom w:w="0" w:type="dxa"/>
            <w:right w:w="0" w:type="dxa"/>
          </w:tblCellMar>
        </w:tblPrEx>
        <w:trPr>
          <w:trHeight w:val="540" w:hRule="atLeast"/>
          <w:jc w:val="center"/>
        </w:trPr>
        <w:tc>
          <w:tcPr>
            <w:tcW w:w="4523"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一、本年新增政府信息公开申请数量</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p>
        </w:tc>
      </w:tr>
      <w:tr>
        <w:tblPrEx>
          <w:shd w:val="clear" w:color="auto" w:fill="auto"/>
          <w:tblCellMar>
            <w:top w:w="0" w:type="dxa"/>
            <w:left w:w="0" w:type="dxa"/>
            <w:bottom w:w="0" w:type="dxa"/>
            <w:right w:w="0" w:type="dxa"/>
          </w:tblCellMar>
        </w:tblPrEx>
        <w:trPr>
          <w:trHeight w:val="540" w:hRule="atLeast"/>
          <w:jc w:val="center"/>
        </w:trPr>
        <w:tc>
          <w:tcPr>
            <w:tcW w:w="4523"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二、上年结转政府信息公开申请数量</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540" w:hRule="atLeast"/>
          <w:jc w:val="center"/>
        </w:trPr>
        <w:tc>
          <w:tcPr>
            <w:tcW w:w="473"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果</w:t>
            </w:r>
          </w:p>
        </w:tc>
        <w:tc>
          <w:tcPr>
            <w:tcW w:w="405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（一）予以公开</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405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（二）部分公开（区分处理的，只计这一情形，不计其他情形）</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54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（三）不予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公开</w:t>
            </w: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1.属于国家秘密</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2.其他法律行政法规禁止公开</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3.危及“三安全一稳定”</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4.保护第三方合法权益</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5.属于三类内部事务信息</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6.属于四类过程性信息</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70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7.属于行政执法案卷</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69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8.属于行政查询事项</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（四）无法提供</w:t>
            </w: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1.本机关不掌握相关政府信息</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w:t>
            </w:r>
          </w:p>
        </w:tc>
      </w:tr>
      <w:tr>
        <w:tblPrEx>
          <w:shd w:val="clear" w:color="auto" w:fill="auto"/>
          <w:tblCellMar>
            <w:top w:w="0" w:type="dxa"/>
            <w:left w:w="0" w:type="dxa"/>
            <w:bottom w:w="0" w:type="dxa"/>
            <w:right w:w="0" w:type="dxa"/>
          </w:tblCellMar>
        </w:tblPrEx>
        <w:trPr>
          <w:trHeight w:val="82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2.没有现成信息需要另行制作</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3.补正后申请内容仍不明确</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（五）不予处理</w:t>
            </w: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1.信访举报投诉类申请</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54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2.重复申请</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0</w:t>
            </w:r>
          </w:p>
        </w:tc>
      </w:tr>
      <w:tr>
        <w:tblPrEx>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3.要求提供公开出版物</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855"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4.无正当理由大量反复申请</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tblCellMar>
            <w:top w:w="0" w:type="dxa"/>
            <w:left w:w="0" w:type="dxa"/>
            <w:bottom w:w="0" w:type="dxa"/>
            <w:right w:w="0" w:type="dxa"/>
          </w:tblCellMar>
        </w:tblPrEx>
        <w:trPr>
          <w:trHeight w:val="117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93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312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5.要求行政机关确认或重新出具已获取信息</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shd w:val="clear" w:color="auto" w:fill="auto"/>
          <w:tblCellMar>
            <w:top w:w="0" w:type="dxa"/>
            <w:left w:w="0" w:type="dxa"/>
            <w:bottom w:w="0" w:type="dxa"/>
            <w:right w:w="0" w:type="dxa"/>
          </w:tblCellMar>
        </w:tblPrEx>
        <w:trPr>
          <w:trHeight w:val="54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405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（六）其他处理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 </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r>
        <w:tblPrEx>
          <w:tblCellMar>
            <w:top w:w="0" w:type="dxa"/>
            <w:left w:w="0" w:type="dxa"/>
            <w:bottom w:w="0" w:type="dxa"/>
            <w:right w:w="0" w:type="dxa"/>
          </w:tblCellMar>
        </w:tblPrEx>
        <w:trPr>
          <w:trHeight w:val="540" w:hRule="atLeast"/>
          <w:jc w:val="center"/>
        </w:trPr>
        <w:tc>
          <w:tcPr>
            <w:tcW w:w="473"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Theme="minorEastAsia" w:hAnsiTheme="minorEastAsia" w:eastAsiaTheme="minorEastAsia" w:cstheme="minorEastAsia"/>
                <w:b w:val="0"/>
                <w:bCs w:val="0"/>
                <w:sz w:val="24"/>
                <w:szCs w:val="24"/>
              </w:rPr>
            </w:pPr>
          </w:p>
        </w:tc>
        <w:tc>
          <w:tcPr>
            <w:tcW w:w="4050" w:type="dxa"/>
            <w:gridSpan w:val="2"/>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（七）总计</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p>
        </w:tc>
      </w:tr>
      <w:tr>
        <w:tblPrEx>
          <w:shd w:val="clear" w:color="auto" w:fill="auto"/>
          <w:tblCellMar>
            <w:top w:w="0" w:type="dxa"/>
            <w:left w:w="0" w:type="dxa"/>
            <w:bottom w:w="0" w:type="dxa"/>
            <w:right w:w="0" w:type="dxa"/>
          </w:tblCellMar>
        </w:tblPrEx>
        <w:trPr>
          <w:trHeight w:val="570" w:hRule="atLeast"/>
          <w:jc w:val="center"/>
        </w:trPr>
        <w:tc>
          <w:tcPr>
            <w:tcW w:w="4523" w:type="dxa"/>
            <w:gridSpan w:val="3"/>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四、结转下年度继续办理</w:t>
            </w:r>
          </w:p>
        </w:tc>
        <w:tc>
          <w:tcPr>
            <w:tcW w:w="584"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5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837"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3"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74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c>
          <w:tcPr>
            <w:tcW w:w="6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aps w:val="0"/>
                <w:color w:val="3D3D3D"/>
                <w:spacing w:val="0"/>
                <w:sz w:val="24"/>
                <w:szCs w:val="24"/>
              </w:rPr>
              <w:t>0</w:t>
            </w:r>
          </w:p>
        </w:tc>
      </w:tr>
    </w:tbl>
    <w:p>
      <w:pPr>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四、政府信息公开行政复议、行政诉讼情况</w:t>
      </w:r>
    </w:p>
    <w:tbl>
      <w:tblPr>
        <w:tblStyle w:val="6"/>
        <w:tblW w:w="9353" w:type="dxa"/>
        <w:jc w:val="center"/>
        <w:shd w:val="clear" w:color="auto" w:fill="auto"/>
        <w:tblLayout w:type="fixed"/>
        <w:tblCellMar>
          <w:top w:w="0" w:type="dxa"/>
          <w:left w:w="0" w:type="dxa"/>
          <w:bottom w:w="0" w:type="dxa"/>
          <w:right w:w="0" w:type="dxa"/>
        </w:tblCellMar>
      </w:tblPr>
      <w:tblGrid>
        <w:gridCol w:w="570"/>
        <w:gridCol w:w="570"/>
        <w:gridCol w:w="570"/>
        <w:gridCol w:w="570"/>
        <w:gridCol w:w="660"/>
        <w:gridCol w:w="525"/>
        <w:gridCol w:w="570"/>
        <w:gridCol w:w="570"/>
        <w:gridCol w:w="570"/>
        <w:gridCol w:w="600"/>
        <w:gridCol w:w="570"/>
        <w:gridCol w:w="570"/>
        <w:gridCol w:w="570"/>
        <w:gridCol w:w="570"/>
        <w:gridCol w:w="1298"/>
      </w:tblGrid>
      <w:tr>
        <w:tblPrEx>
          <w:shd w:val="clear" w:color="auto" w:fill="auto"/>
          <w:tblCellMar>
            <w:top w:w="0" w:type="dxa"/>
            <w:left w:w="0" w:type="dxa"/>
            <w:bottom w:w="0" w:type="dxa"/>
            <w:right w:w="0" w:type="dxa"/>
          </w:tblCellMar>
        </w:tblPrEx>
        <w:trPr>
          <w:trHeight w:val="555" w:hRule="atLeast"/>
          <w:jc w:val="center"/>
        </w:trPr>
        <w:tc>
          <w:tcPr>
            <w:tcW w:w="2940" w:type="dxa"/>
            <w:gridSpan w:val="5"/>
            <w:tcBorders>
              <w:top w:val="single" w:color="auto" w:sz="8" w:space="0"/>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行政复议</w:t>
            </w:r>
          </w:p>
        </w:tc>
        <w:tc>
          <w:tcPr>
            <w:tcW w:w="6413" w:type="dxa"/>
            <w:gridSpan w:val="10"/>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caps w:val="0"/>
                <w:color w:val="3D3D3D"/>
                <w:spacing w:val="0"/>
                <w:sz w:val="22"/>
                <w:szCs w:val="22"/>
              </w:rPr>
              <w:t>行政诉讼</w:t>
            </w:r>
          </w:p>
        </w:tc>
      </w:tr>
      <w:tr>
        <w:tblPrEx>
          <w:shd w:val="clear" w:color="auto" w:fill="auto"/>
          <w:tblCellMar>
            <w:top w:w="0" w:type="dxa"/>
            <w:left w:w="0" w:type="dxa"/>
            <w:bottom w:w="0" w:type="dxa"/>
            <w:right w:w="0" w:type="dxa"/>
          </w:tblCellMar>
        </w:tblPrEx>
        <w:trPr>
          <w:trHeight w:val="555" w:hRule="atLeast"/>
          <w:jc w:val="center"/>
        </w:trPr>
        <w:tc>
          <w:tcPr>
            <w:tcW w:w="570" w:type="dxa"/>
            <w:vMerge w:val="restart"/>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结果维持</w:t>
            </w:r>
          </w:p>
        </w:tc>
        <w:tc>
          <w:tcPr>
            <w:tcW w:w="570" w:type="dxa"/>
            <w:vMerge w:val="restart"/>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结果纠正</w:t>
            </w:r>
          </w:p>
        </w:tc>
        <w:tc>
          <w:tcPr>
            <w:tcW w:w="57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其他结果</w:t>
            </w:r>
          </w:p>
        </w:tc>
        <w:tc>
          <w:tcPr>
            <w:tcW w:w="57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尚未审结</w:t>
            </w:r>
          </w:p>
        </w:tc>
        <w:tc>
          <w:tcPr>
            <w:tcW w:w="660" w:type="dxa"/>
            <w:vMerge w:val="restart"/>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总计</w:t>
            </w:r>
          </w:p>
        </w:tc>
        <w:tc>
          <w:tcPr>
            <w:tcW w:w="2835"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未经复议直接起诉</w:t>
            </w:r>
          </w:p>
        </w:tc>
        <w:tc>
          <w:tcPr>
            <w:tcW w:w="3578" w:type="dxa"/>
            <w:gridSpan w:val="5"/>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复议后起诉</w:t>
            </w:r>
          </w:p>
        </w:tc>
      </w:tr>
      <w:tr>
        <w:tblPrEx>
          <w:tblCellMar>
            <w:top w:w="0" w:type="dxa"/>
            <w:left w:w="0" w:type="dxa"/>
            <w:bottom w:w="0" w:type="dxa"/>
            <w:right w:w="0" w:type="dxa"/>
          </w:tblCellMar>
        </w:tblPrEx>
        <w:trPr>
          <w:trHeight w:val="1530" w:hRule="atLeast"/>
          <w:jc w:val="center"/>
        </w:trPr>
        <w:tc>
          <w:tcPr>
            <w:tcW w:w="570" w:type="dxa"/>
            <w:vMerge w:val="continue"/>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570" w:type="dxa"/>
            <w:vMerge w:val="continue"/>
            <w:tcBorders>
              <w:top w:val="nil"/>
              <w:left w:val="nil"/>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57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57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660" w:type="dxa"/>
            <w:vMerge w:val="continue"/>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结果维持</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结果纠正</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其他结果</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尚未审结</w:t>
            </w:r>
          </w:p>
        </w:tc>
        <w:tc>
          <w:tcPr>
            <w:tcW w:w="60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总计</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结果维持</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结果纠正</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其他结果</w:t>
            </w:r>
          </w:p>
        </w:tc>
        <w:tc>
          <w:tcPr>
            <w:tcW w:w="570"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尚未审结</w:t>
            </w:r>
          </w:p>
        </w:tc>
        <w:tc>
          <w:tcPr>
            <w:tcW w:w="1298" w:type="dxa"/>
            <w:tcBorders>
              <w:top w:val="single" w:color="auto" w:sz="8" w:space="0"/>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总计</w:t>
            </w:r>
          </w:p>
        </w:tc>
      </w:tr>
      <w:tr>
        <w:tblPrEx>
          <w:tblCellMar>
            <w:top w:w="0" w:type="dxa"/>
            <w:left w:w="0" w:type="dxa"/>
            <w:bottom w:w="0" w:type="dxa"/>
            <w:right w:w="0" w:type="dxa"/>
          </w:tblCellMar>
        </w:tblPrEx>
        <w:trPr>
          <w:trHeight w:val="600" w:hRule="atLeast"/>
          <w:jc w:val="center"/>
        </w:trPr>
        <w:tc>
          <w:tcPr>
            <w:tcW w:w="570" w:type="dxa"/>
            <w:tcBorders>
              <w:top w:val="nil"/>
              <w:left w:val="single" w:color="auto" w:sz="8" w:space="0"/>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66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25"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60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570"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c>
          <w:tcPr>
            <w:tcW w:w="1298" w:type="dxa"/>
            <w:tcBorders>
              <w:top w:val="nil"/>
              <w:left w:val="nil"/>
              <w:bottom w:val="single" w:color="auto" w:sz="8" w:space="0"/>
              <w:right w:val="single" w:color="auto"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aps w:val="0"/>
                <w:color w:val="3D3D3D"/>
                <w:spacing w:val="0"/>
                <w:sz w:val="22"/>
                <w:szCs w:val="22"/>
              </w:rPr>
              <w:t>0</w:t>
            </w:r>
          </w:p>
        </w:tc>
      </w:tr>
    </w:tbl>
    <w:p>
      <w:pPr>
        <w:rPr>
          <w:rFonts w:hint="eastAsia" w:ascii="黑体" w:hAnsi="黑体" w:eastAsia="黑体" w:cs="黑体"/>
          <w:sz w:val="32"/>
          <w:szCs w:val="32"/>
        </w:rPr>
      </w:pPr>
    </w:p>
    <w:p>
      <w:pPr>
        <w:numPr>
          <w:ilvl w:val="0"/>
          <w:numId w:val="0"/>
        </w:numPr>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政府信息公开工作存在的主要问题及改进情况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主要问题：</w:t>
      </w:r>
      <w:r>
        <w:rPr>
          <w:rFonts w:hint="eastAsia" w:ascii="仿宋" w:hAnsi="仿宋" w:eastAsia="仿宋" w:cs="仿宋"/>
          <w:b w:val="0"/>
          <w:bCs w:val="0"/>
          <w:sz w:val="32"/>
          <w:szCs w:val="32"/>
          <w:lang w:val="en-US" w:eastAsia="zh-CN"/>
        </w:rPr>
        <w:t>一是部分文件政策解读质量不高。二是个别文件发布格式不规范</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rPr>
        <w:t>整改措施：</w:t>
      </w:r>
      <w:r>
        <w:rPr>
          <w:rFonts w:hint="eastAsia" w:ascii="仿宋" w:hAnsi="仿宋" w:eastAsia="仿宋" w:cs="仿宋"/>
          <w:b w:val="0"/>
          <w:bCs w:val="0"/>
          <w:sz w:val="32"/>
          <w:szCs w:val="32"/>
          <w:lang w:val="en-US" w:eastAsia="zh-CN"/>
        </w:rPr>
        <w:t>1.召开了政策解读专项培训会，从政策解读的含义、意义、作用、程序、内容、形式等方面进行讲解，强化全员对政策解读重要性和必要性的认识，提高主动多角度多形式解读意识，从根源上提高政策解读的质量。2.召开工作推进会，通报信息格式存在的问题，示范讲解正确上传格式标准，提高科室信息员的业务水平，促进了体育局政务公开工作整体水平提高。</w:t>
      </w:r>
    </w:p>
    <w:p>
      <w:pPr>
        <w:ind w:firstLine="640" w:firstLineChars="200"/>
        <w:rPr>
          <w:rFonts w:hint="eastAsia" w:ascii="黑体" w:hAnsi="黑体" w:eastAsia="黑体" w:cs="黑体"/>
          <w:b w:val="0"/>
          <w:bCs/>
          <w:sz w:val="32"/>
          <w:szCs w:val="32"/>
        </w:rPr>
      </w:pPr>
      <w:r>
        <w:rPr>
          <w:rStyle w:val="8"/>
          <w:rFonts w:hint="eastAsia" w:ascii="黑体" w:hAnsi="黑体" w:eastAsia="黑体" w:cs="黑体"/>
          <w:b w:val="0"/>
          <w:bCs/>
          <w:i w:val="0"/>
          <w:caps w:val="0"/>
          <w:color w:val="3D3D3D"/>
          <w:spacing w:val="0"/>
          <w:sz w:val="32"/>
          <w:szCs w:val="32"/>
          <w:shd w:val="clear" w:fill="FFFFFF"/>
        </w:rPr>
        <w:t>六、其他需要报告的事项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3</w:t>
      </w:r>
      <w:r>
        <w:rPr>
          <w:rFonts w:hint="eastAsia" w:ascii="仿宋" w:hAnsi="仿宋" w:eastAsia="仿宋" w:cs="仿宋"/>
          <w:sz w:val="32"/>
          <w:szCs w:val="32"/>
        </w:rPr>
        <w:t>年度，我</w:t>
      </w:r>
      <w:r>
        <w:rPr>
          <w:rFonts w:hint="eastAsia" w:ascii="仿宋" w:hAnsi="仿宋" w:eastAsia="仿宋" w:cs="仿宋"/>
          <w:sz w:val="32"/>
          <w:szCs w:val="32"/>
          <w:lang w:eastAsia="zh-CN"/>
        </w:rPr>
        <w:t>局</w:t>
      </w:r>
      <w:r>
        <w:rPr>
          <w:rFonts w:hint="eastAsia" w:ascii="仿宋" w:hAnsi="仿宋" w:eastAsia="仿宋" w:cs="仿宋"/>
          <w:sz w:val="32"/>
          <w:szCs w:val="32"/>
        </w:rPr>
        <w:t>在办理政府信息公开申请过程中，未收取任何信息处理费。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.202</w:t>
      </w: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年</w:t>
      </w:r>
      <w:r>
        <w:rPr>
          <w:rFonts w:hint="eastAsia" w:ascii="仿宋" w:hAnsi="仿宋" w:eastAsia="仿宋" w:cs="仿宋"/>
          <w:i w:val="0"/>
          <w:caps w:val="0"/>
          <w:color w:val="000000"/>
          <w:spacing w:val="0"/>
          <w:sz w:val="32"/>
          <w:szCs w:val="32"/>
          <w:lang w:eastAsia="zh-CN"/>
        </w:rPr>
        <w:t>度</w:t>
      </w:r>
      <w:r>
        <w:rPr>
          <w:rFonts w:hint="eastAsia" w:ascii="仿宋" w:hAnsi="仿宋" w:eastAsia="仿宋" w:cs="仿宋"/>
          <w:i w:val="0"/>
          <w:caps w:val="0"/>
          <w:color w:val="000000"/>
          <w:spacing w:val="0"/>
          <w:sz w:val="32"/>
          <w:szCs w:val="32"/>
        </w:rPr>
        <w:t>，我</w:t>
      </w:r>
      <w:r>
        <w:rPr>
          <w:rFonts w:hint="eastAsia" w:ascii="仿宋" w:hAnsi="仿宋" w:eastAsia="仿宋" w:cs="仿宋"/>
          <w:i w:val="0"/>
          <w:caps w:val="0"/>
          <w:color w:val="000000"/>
          <w:spacing w:val="0"/>
          <w:sz w:val="32"/>
          <w:szCs w:val="32"/>
          <w:lang w:eastAsia="zh-CN"/>
        </w:rPr>
        <w:t>局受理</w:t>
      </w:r>
      <w:r>
        <w:rPr>
          <w:rFonts w:hint="eastAsia" w:ascii="仿宋" w:hAnsi="仿宋" w:eastAsia="仿宋" w:cs="仿宋"/>
          <w:i w:val="0"/>
          <w:caps w:val="0"/>
          <w:color w:val="000000"/>
          <w:spacing w:val="0"/>
          <w:sz w:val="32"/>
          <w:szCs w:val="32"/>
          <w:shd w:val="clear" w:color="auto" w:fill="FFFFFF"/>
          <w:lang w:val="en-US" w:eastAsia="zh-CN"/>
        </w:rPr>
        <w:t>政协委员提案5件，人大建议2件，都按期办结，信息已全部公开。</w:t>
      </w:r>
    </w:p>
    <w:p>
      <w:pPr>
        <w:ind w:firstLine="640" w:firstLineChars="200"/>
        <w:rPr>
          <w:rFonts w:hint="eastAsia" w:ascii="微软雅黑" w:hAnsi="微软雅黑" w:eastAsia="微软雅黑" w:cs="微软雅黑"/>
          <w:sz w:val="24"/>
          <w:szCs w:val="24"/>
        </w:rPr>
      </w:pPr>
      <w:r>
        <w:rPr>
          <w:rFonts w:hint="eastAsia" w:ascii="仿宋" w:hAnsi="仿宋" w:eastAsia="仿宋" w:cs="仿宋"/>
          <w:sz w:val="32"/>
          <w:szCs w:val="32"/>
          <w:lang w:val="en-US" w:eastAsia="zh-CN"/>
        </w:rPr>
        <w:t>3</w:t>
      </w:r>
      <w:r>
        <w:rPr>
          <w:rFonts w:hint="eastAsia" w:ascii="仿宋" w:hAnsi="仿宋" w:eastAsia="仿宋" w:cs="仿宋"/>
          <w:sz w:val="32"/>
          <w:szCs w:val="32"/>
        </w:rPr>
        <w:t>.市</w:t>
      </w:r>
      <w:r>
        <w:rPr>
          <w:rFonts w:hint="eastAsia" w:ascii="仿宋" w:hAnsi="仿宋" w:eastAsia="仿宋" w:cs="仿宋"/>
          <w:sz w:val="32"/>
          <w:szCs w:val="32"/>
          <w:lang w:eastAsia="zh-CN"/>
        </w:rPr>
        <w:t>体育局</w:t>
      </w:r>
      <w:r>
        <w:rPr>
          <w:rFonts w:hint="eastAsia" w:ascii="仿宋" w:hAnsi="仿宋" w:eastAsia="仿宋" w:cs="仿宋"/>
          <w:sz w:val="32"/>
          <w:szCs w:val="32"/>
        </w:rPr>
        <w:t>积极</w:t>
      </w:r>
      <w:r>
        <w:rPr>
          <w:rFonts w:hint="eastAsia" w:ascii="仿宋" w:hAnsi="仿宋" w:eastAsia="仿宋" w:cs="仿宋"/>
          <w:sz w:val="32"/>
          <w:szCs w:val="32"/>
          <w:lang w:val="en-US" w:eastAsia="zh-CN"/>
        </w:rPr>
        <w:t>创新实践，持续提升</w:t>
      </w:r>
      <w:r>
        <w:rPr>
          <w:rFonts w:hint="eastAsia" w:ascii="仿宋" w:hAnsi="仿宋" w:eastAsia="仿宋" w:cs="仿宋"/>
          <w:sz w:val="32"/>
          <w:szCs w:val="32"/>
          <w:lang w:eastAsia="zh-CN"/>
        </w:rPr>
        <w:t>政务公开工作</w:t>
      </w:r>
      <w:r>
        <w:rPr>
          <w:rFonts w:hint="eastAsia" w:ascii="仿宋" w:hAnsi="仿宋" w:eastAsia="仿宋" w:cs="仿宋"/>
          <w:sz w:val="32"/>
          <w:szCs w:val="32"/>
          <w:lang w:val="en-US" w:eastAsia="zh-CN"/>
        </w:rPr>
        <w:t>水平</w:t>
      </w:r>
      <w:r>
        <w:rPr>
          <w:rFonts w:hint="eastAsia" w:ascii="仿宋" w:hAnsi="仿宋" w:eastAsia="仿宋" w:cs="仿宋"/>
          <w:sz w:val="32"/>
          <w:szCs w:val="32"/>
        </w:rPr>
        <w:t>。</w:t>
      </w:r>
      <w:r>
        <w:rPr>
          <w:rFonts w:hint="eastAsia" w:ascii="仿宋" w:hAnsi="仿宋" w:eastAsia="仿宋" w:cs="仿宋"/>
          <w:b w:val="0"/>
          <w:bCs w:val="0"/>
          <w:sz w:val="32"/>
          <w:szCs w:val="32"/>
          <w:lang w:val="en-US" w:eastAsia="zh-CN"/>
        </w:rPr>
        <w:t>一是强化领导，</w:t>
      </w:r>
      <w:r>
        <w:rPr>
          <w:rFonts w:hint="eastAsia" w:ascii="仿宋" w:hAnsi="仿宋" w:eastAsia="仿宋" w:cs="仿宋"/>
          <w:b w:val="0"/>
          <w:bCs w:val="0"/>
          <w:sz w:val="32"/>
          <w:szCs w:val="32"/>
        </w:rPr>
        <w:t>确保</w:t>
      </w:r>
      <w:r>
        <w:rPr>
          <w:rFonts w:hint="eastAsia" w:ascii="仿宋" w:hAnsi="仿宋" w:eastAsia="仿宋" w:cs="仿宋"/>
          <w:b w:val="0"/>
          <w:bCs w:val="0"/>
          <w:sz w:val="32"/>
          <w:szCs w:val="32"/>
          <w:lang w:eastAsia="zh-CN"/>
        </w:rPr>
        <w:t>机制</w:t>
      </w:r>
      <w:r>
        <w:rPr>
          <w:rFonts w:hint="eastAsia" w:ascii="仿宋" w:hAnsi="仿宋" w:eastAsia="仿宋" w:cs="仿宋"/>
          <w:b w:val="0"/>
          <w:bCs w:val="0"/>
          <w:sz w:val="32"/>
          <w:szCs w:val="32"/>
          <w:lang w:val="en-US" w:eastAsia="zh-CN"/>
        </w:rPr>
        <w:t>运行畅通</w:t>
      </w:r>
      <w:r>
        <w:rPr>
          <w:rFonts w:hint="eastAsia" w:ascii="仿宋" w:hAnsi="仿宋" w:eastAsia="仿宋" w:cs="仿宋"/>
          <w:b w:val="0"/>
          <w:bCs w:val="0"/>
          <w:sz w:val="32"/>
          <w:szCs w:val="32"/>
        </w:rPr>
        <w:t>。把政务公开工作纳入重要工作议事日程，</w:t>
      </w:r>
      <w:r>
        <w:rPr>
          <w:rFonts w:hint="eastAsia" w:ascii="仿宋" w:hAnsi="仿宋" w:eastAsia="仿宋" w:cs="仿宋"/>
          <w:b w:val="0"/>
          <w:bCs w:val="0"/>
          <w:sz w:val="32"/>
          <w:szCs w:val="32"/>
          <w:lang w:val="en-US" w:eastAsia="zh-CN"/>
        </w:rPr>
        <w:t>发挥领导小组的统筹领导和</w:t>
      </w:r>
      <w:r>
        <w:rPr>
          <w:rFonts w:hint="eastAsia" w:ascii="仿宋" w:hAnsi="仿宋" w:eastAsia="仿宋" w:cs="仿宋"/>
          <w:b w:val="0"/>
          <w:bCs w:val="0"/>
          <w:sz w:val="32"/>
          <w:szCs w:val="32"/>
          <w:lang w:eastAsia="zh-CN"/>
        </w:rPr>
        <w:t>办公室</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协调和监督</w:t>
      </w:r>
      <w:r>
        <w:rPr>
          <w:rFonts w:hint="eastAsia" w:ascii="仿宋" w:hAnsi="仿宋" w:eastAsia="仿宋" w:cs="仿宋"/>
          <w:b w:val="0"/>
          <w:bCs w:val="0"/>
          <w:sz w:val="32"/>
          <w:szCs w:val="32"/>
          <w:lang w:val="en-US" w:eastAsia="zh-CN"/>
        </w:rPr>
        <w:t>作用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领导、机构、人员“三到位”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形成各负其责、相互配合、齐抓共管的</w:t>
      </w:r>
      <w:r>
        <w:rPr>
          <w:rFonts w:hint="eastAsia" w:ascii="仿宋" w:hAnsi="仿宋" w:eastAsia="仿宋" w:cs="仿宋"/>
          <w:b w:val="0"/>
          <w:bCs w:val="0"/>
          <w:color w:val="000222"/>
          <w:spacing w:val="0"/>
          <w:sz w:val="32"/>
          <w:szCs w:val="32"/>
          <w:shd w:val="clear" w:fill="FFFFFF"/>
        </w:rPr>
        <w:t>工作</w:t>
      </w:r>
      <w:r>
        <w:rPr>
          <w:rFonts w:hint="eastAsia" w:ascii="仿宋" w:hAnsi="仿宋" w:eastAsia="仿宋" w:cs="仿宋"/>
          <w:b w:val="0"/>
          <w:bCs w:val="0"/>
          <w:color w:val="000222"/>
          <w:spacing w:val="0"/>
          <w:sz w:val="32"/>
          <w:szCs w:val="32"/>
          <w:shd w:val="clear" w:fill="FFFFFF"/>
          <w:lang w:val="en-US" w:eastAsia="zh-CN"/>
        </w:rPr>
        <w:t>模式。</w:t>
      </w:r>
      <w:r>
        <w:rPr>
          <w:rFonts w:hint="eastAsia" w:ascii="仿宋" w:hAnsi="仿宋" w:eastAsia="仿宋" w:cs="仿宋"/>
          <w:b w:val="0"/>
          <w:bCs w:val="0"/>
          <w:sz w:val="32"/>
          <w:szCs w:val="32"/>
          <w:lang w:val="en-US" w:eastAsia="zh-CN"/>
        </w:rPr>
        <w:t>二是狠抓</w:t>
      </w:r>
      <w:r>
        <w:rPr>
          <w:rFonts w:hint="eastAsia" w:ascii="仿宋" w:hAnsi="仿宋" w:eastAsia="仿宋" w:cs="仿宋"/>
          <w:b w:val="0"/>
          <w:bCs w:val="0"/>
          <w:sz w:val="32"/>
          <w:szCs w:val="32"/>
          <w:lang w:eastAsia="zh-CN"/>
        </w:rPr>
        <w:t>落实，</w:t>
      </w:r>
      <w:r>
        <w:rPr>
          <w:rFonts w:hint="eastAsia" w:ascii="仿宋" w:hAnsi="仿宋" w:eastAsia="仿宋" w:cs="仿宋"/>
          <w:b w:val="0"/>
          <w:bCs w:val="0"/>
          <w:sz w:val="32"/>
          <w:szCs w:val="32"/>
        </w:rPr>
        <w:t>确保</w:t>
      </w:r>
      <w:r>
        <w:rPr>
          <w:rFonts w:hint="eastAsia" w:ascii="仿宋" w:hAnsi="仿宋" w:eastAsia="仿宋" w:cs="仿宋"/>
          <w:b w:val="0"/>
          <w:bCs w:val="0"/>
          <w:sz w:val="32"/>
          <w:szCs w:val="32"/>
          <w:lang w:val="en-US" w:eastAsia="zh-CN"/>
        </w:rPr>
        <w:t>内容</w:t>
      </w:r>
      <w:r>
        <w:rPr>
          <w:rFonts w:hint="eastAsia" w:ascii="仿宋" w:hAnsi="仿宋" w:eastAsia="仿宋" w:cs="仿宋"/>
          <w:b w:val="0"/>
          <w:bCs w:val="0"/>
          <w:sz w:val="32"/>
          <w:szCs w:val="32"/>
        </w:rPr>
        <w:t>公开</w:t>
      </w:r>
      <w:r>
        <w:rPr>
          <w:rFonts w:hint="eastAsia" w:ascii="仿宋" w:hAnsi="仿宋" w:eastAsia="仿宋" w:cs="仿宋"/>
          <w:b w:val="0"/>
          <w:bCs w:val="0"/>
          <w:sz w:val="32"/>
          <w:szCs w:val="32"/>
          <w:lang w:val="en-US" w:eastAsia="zh-CN"/>
        </w:rPr>
        <w:t>全面</w:t>
      </w:r>
      <w:r>
        <w:rPr>
          <w:rFonts w:hint="eastAsia" w:ascii="仿宋" w:hAnsi="仿宋" w:eastAsia="仿宋" w:cs="仿宋"/>
          <w:b w:val="0"/>
          <w:bCs w:val="0"/>
          <w:sz w:val="32"/>
          <w:szCs w:val="32"/>
        </w:rPr>
        <w:t>。</w:t>
      </w:r>
      <w:r>
        <w:rPr>
          <w:rFonts w:hint="eastAsia" w:ascii="仿宋" w:hAnsi="仿宋" w:eastAsia="仿宋" w:cs="仿宋"/>
          <w:b w:val="0"/>
          <w:bCs w:val="0"/>
          <w:color w:val="auto"/>
          <w:sz w:val="32"/>
          <w:szCs w:val="32"/>
          <w:lang w:val="en-US" w:eastAsia="zh-CN"/>
        </w:rPr>
        <w:t>懂</w:t>
      </w:r>
      <w:r>
        <w:rPr>
          <w:rFonts w:hint="eastAsia" w:ascii="仿宋" w:hAnsi="仿宋" w:eastAsia="仿宋" w:cs="仿宋"/>
          <w:b w:val="0"/>
          <w:bCs w:val="0"/>
          <w:sz w:val="32"/>
          <w:szCs w:val="32"/>
          <w:lang w:eastAsia="zh-CN"/>
        </w:rPr>
        <w:t>政策，</w:t>
      </w:r>
      <w:r>
        <w:rPr>
          <w:rFonts w:hint="eastAsia" w:ascii="仿宋" w:hAnsi="仿宋" w:eastAsia="仿宋" w:cs="仿宋"/>
          <w:b w:val="0"/>
          <w:bCs w:val="0"/>
          <w:sz w:val="32"/>
          <w:szCs w:val="32"/>
          <w:lang w:val="en-US" w:eastAsia="zh-CN"/>
        </w:rPr>
        <w:t>建台账，列清单，讲标准，定流程，讲实效，重质量，</w:t>
      </w:r>
      <w:r>
        <w:rPr>
          <w:rFonts w:hint="eastAsia" w:ascii="仿宋" w:hAnsi="仿宋" w:eastAsia="仿宋" w:cs="仿宋"/>
          <w:b w:val="0"/>
          <w:bCs w:val="0"/>
          <w:sz w:val="32"/>
          <w:szCs w:val="32"/>
          <w:lang w:eastAsia="zh-CN"/>
        </w:rPr>
        <w:t>做到“应公开尽公开”，</w:t>
      </w:r>
      <w:r>
        <w:rPr>
          <w:rFonts w:hint="eastAsia" w:ascii="仿宋" w:hAnsi="仿宋" w:eastAsia="仿宋" w:cs="仿宋"/>
          <w:b w:val="0"/>
          <w:bCs w:val="0"/>
          <w:sz w:val="32"/>
          <w:szCs w:val="32"/>
        </w:rPr>
        <w:t>确保社会公众知晓</w:t>
      </w:r>
      <w:r>
        <w:rPr>
          <w:rFonts w:hint="eastAsia" w:ascii="仿宋" w:hAnsi="仿宋" w:eastAsia="仿宋" w:cs="仿宋"/>
          <w:b w:val="0"/>
          <w:bCs w:val="0"/>
          <w:sz w:val="32"/>
          <w:szCs w:val="32"/>
          <w:lang w:eastAsia="zh-CN"/>
        </w:rPr>
        <w:t>率，做到栏目有人管，</w:t>
      </w:r>
      <w:r>
        <w:rPr>
          <w:rFonts w:hint="eastAsia" w:ascii="仿宋" w:hAnsi="仿宋" w:eastAsia="仿宋" w:cs="仿宋"/>
          <w:b w:val="0"/>
          <w:bCs w:val="0"/>
          <w:sz w:val="32"/>
          <w:szCs w:val="32"/>
          <w:lang w:val="en-US" w:eastAsia="zh-CN"/>
        </w:rPr>
        <w:t>内容有</w:t>
      </w:r>
      <w:r>
        <w:rPr>
          <w:rFonts w:hint="eastAsia" w:ascii="仿宋" w:hAnsi="仿宋" w:eastAsia="仿宋" w:cs="仿宋"/>
          <w:b w:val="0"/>
          <w:bCs w:val="0"/>
          <w:sz w:val="32"/>
          <w:szCs w:val="32"/>
          <w:lang w:eastAsia="zh-CN"/>
        </w:rPr>
        <w:t>更新，信息发布准确。</w:t>
      </w:r>
      <w:r>
        <w:rPr>
          <w:rFonts w:hint="eastAsia" w:ascii="仿宋" w:hAnsi="仿宋" w:eastAsia="仿宋" w:cs="仿宋"/>
          <w:b w:val="0"/>
          <w:bCs w:val="0"/>
          <w:sz w:val="32"/>
          <w:szCs w:val="32"/>
          <w:lang w:val="en-US" w:eastAsia="zh-CN"/>
        </w:rPr>
        <w:t>三是强化监督，</w:t>
      </w:r>
      <w:r>
        <w:rPr>
          <w:rFonts w:hint="eastAsia" w:ascii="仿宋" w:hAnsi="仿宋" w:eastAsia="仿宋" w:cs="仿宋"/>
          <w:b w:val="0"/>
          <w:bCs w:val="0"/>
          <w:sz w:val="32"/>
          <w:szCs w:val="32"/>
        </w:rPr>
        <w:t>确保</w:t>
      </w:r>
      <w:r>
        <w:rPr>
          <w:rFonts w:hint="eastAsia" w:ascii="仿宋" w:hAnsi="仿宋" w:eastAsia="仿宋" w:cs="仿宋"/>
          <w:b w:val="0"/>
          <w:bCs w:val="0"/>
          <w:sz w:val="32"/>
          <w:szCs w:val="32"/>
          <w:lang w:val="en-US" w:eastAsia="zh-CN"/>
        </w:rPr>
        <w:t>公开</w:t>
      </w:r>
      <w:r>
        <w:rPr>
          <w:rFonts w:hint="eastAsia" w:ascii="仿宋" w:hAnsi="仿宋" w:eastAsia="仿宋" w:cs="仿宋"/>
          <w:b w:val="0"/>
          <w:bCs w:val="0"/>
          <w:sz w:val="32"/>
          <w:szCs w:val="32"/>
        </w:rPr>
        <w:t>程序</w:t>
      </w:r>
      <w:r>
        <w:rPr>
          <w:rFonts w:hint="eastAsia" w:ascii="仿宋" w:hAnsi="仿宋" w:eastAsia="仿宋" w:cs="仿宋"/>
          <w:b w:val="0"/>
          <w:bCs w:val="0"/>
          <w:sz w:val="32"/>
          <w:szCs w:val="32"/>
          <w:lang w:val="en-US" w:eastAsia="zh-CN"/>
        </w:rPr>
        <w:t>规范。严格实行</w:t>
      </w:r>
      <w:r>
        <w:rPr>
          <w:rFonts w:hint="eastAsia" w:ascii="仿宋" w:hAnsi="仿宋" w:eastAsia="仿宋" w:cs="仿宋"/>
          <w:b w:val="0"/>
          <w:bCs w:val="0"/>
          <w:sz w:val="32"/>
          <w:szCs w:val="32"/>
          <w:lang w:eastAsia="zh-CN"/>
        </w:rPr>
        <w:t>保密审查</w:t>
      </w:r>
      <w:r>
        <w:rPr>
          <w:rFonts w:hint="eastAsia" w:ascii="仿宋" w:hAnsi="仿宋" w:eastAsia="仿宋" w:cs="仿宋"/>
          <w:b w:val="0"/>
          <w:bCs w:val="0"/>
          <w:sz w:val="32"/>
          <w:szCs w:val="32"/>
          <w:lang w:val="en-US" w:eastAsia="zh-CN"/>
        </w:rPr>
        <w:t>和月度督导，发现问题，及时整改，</w:t>
      </w:r>
      <w:r>
        <w:rPr>
          <w:rFonts w:hint="eastAsia" w:ascii="仿宋" w:hAnsi="仿宋" w:eastAsia="仿宋" w:cs="仿宋"/>
          <w:b w:val="0"/>
          <w:bCs w:val="0"/>
          <w:sz w:val="32"/>
          <w:szCs w:val="32"/>
        </w:rPr>
        <w:t>按照“谁发布、谁负责”的原则实行归口管理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四是拓宽渠道，确保服务质量到位。线上线下双结合，发挥局官方</w:t>
      </w:r>
      <w:r>
        <w:rPr>
          <w:rFonts w:hint="eastAsia" w:ascii="仿宋" w:hAnsi="仿宋" w:eastAsia="仿宋" w:cs="仿宋"/>
          <w:b w:val="0"/>
          <w:bCs w:val="0"/>
          <w:i w:val="0"/>
          <w:iCs w:val="0"/>
          <w:caps w:val="0"/>
          <w:color w:val="333333"/>
          <w:spacing w:val="0"/>
          <w:sz w:val="32"/>
          <w:szCs w:val="32"/>
          <w:shd w:val="clear" w:color="auto" w:fill="FFFFFF"/>
        </w:rPr>
        <w:t>网站</w:t>
      </w:r>
      <w:r>
        <w:rPr>
          <w:rFonts w:hint="eastAsia" w:ascii="仿宋" w:hAnsi="仿宋" w:eastAsia="仿宋" w:cs="仿宋"/>
          <w:b w:val="0"/>
          <w:bCs w:val="0"/>
          <w:i w:val="0"/>
          <w:iCs w:val="0"/>
          <w:caps w:val="0"/>
          <w:color w:val="333333"/>
          <w:spacing w:val="0"/>
          <w:sz w:val="32"/>
          <w:szCs w:val="32"/>
          <w:shd w:val="clear" w:color="auto" w:fill="FFFFFF"/>
          <w:lang w:eastAsia="zh-CN"/>
        </w:rPr>
        <w:t>、</w:t>
      </w:r>
      <w:r>
        <w:rPr>
          <w:rFonts w:hint="eastAsia" w:ascii="仿宋" w:hAnsi="仿宋" w:eastAsia="仿宋" w:cs="仿宋"/>
          <w:b w:val="0"/>
          <w:bCs w:val="0"/>
          <w:sz w:val="32"/>
          <w:szCs w:val="32"/>
        </w:rPr>
        <w:t>微信公众号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政务服务“一链办理”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宣传</w:t>
      </w:r>
      <w:r>
        <w:rPr>
          <w:rFonts w:hint="eastAsia" w:ascii="仿宋" w:hAnsi="仿宋" w:eastAsia="仿宋" w:cs="仿宋"/>
          <w:b w:val="0"/>
          <w:bCs w:val="0"/>
          <w:sz w:val="32"/>
          <w:szCs w:val="32"/>
          <w:lang w:eastAsia="zh-CN"/>
        </w:rPr>
        <w:t>展板</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电子屏</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服务台、</w:t>
      </w:r>
      <w:r>
        <w:rPr>
          <w:rFonts w:hint="eastAsia" w:ascii="仿宋" w:hAnsi="仿宋" w:eastAsia="仿宋" w:cs="仿宋"/>
          <w:b w:val="0"/>
          <w:bCs w:val="0"/>
          <w:sz w:val="32"/>
          <w:szCs w:val="32"/>
          <w:lang w:eastAsia="zh-CN"/>
        </w:rPr>
        <w:t>便民</w:t>
      </w:r>
      <w:r>
        <w:rPr>
          <w:rFonts w:hint="eastAsia" w:ascii="仿宋" w:hAnsi="仿宋" w:eastAsia="仿宋" w:cs="仿宋"/>
          <w:b w:val="0"/>
          <w:bCs w:val="0"/>
          <w:sz w:val="32"/>
          <w:szCs w:val="32"/>
        </w:rPr>
        <w:t>热线等</w:t>
      </w:r>
      <w:r>
        <w:rPr>
          <w:rFonts w:hint="eastAsia" w:ascii="仿宋" w:hAnsi="仿宋" w:eastAsia="仿宋" w:cs="仿宋"/>
          <w:b w:val="0"/>
          <w:bCs w:val="0"/>
          <w:sz w:val="32"/>
          <w:szCs w:val="32"/>
          <w:lang w:eastAsia="zh-CN"/>
        </w:rPr>
        <w:t>方式，</w:t>
      </w:r>
      <w:r>
        <w:rPr>
          <w:rFonts w:hint="eastAsia" w:ascii="仿宋" w:hAnsi="仿宋" w:eastAsia="仿宋" w:cs="仿宋"/>
          <w:b w:val="0"/>
          <w:bCs w:val="0"/>
          <w:sz w:val="32"/>
          <w:szCs w:val="32"/>
        </w:rPr>
        <w:t>做好当前社会热点、难点及惠民政策的解读，及时回应群众</w:t>
      </w:r>
      <w:r>
        <w:rPr>
          <w:rFonts w:hint="eastAsia" w:ascii="仿宋" w:hAnsi="仿宋" w:eastAsia="仿宋" w:cs="仿宋"/>
          <w:sz w:val="32"/>
          <w:szCs w:val="32"/>
        </w:rPr>
        <w:t>关切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办理服务事项1243件，提供咨询501件；邀请特约人员和群众参观和座谈，</w:t>
      </w:r>
      <w:r>
        <w:rPr>
          <w:rFonts w:hint="eastAsia" w:ascii="仿宋" w:hAnsi="仿宋" w:eastAsia="仿宋" w:cs="仿宋"/>
          <w:sz w:val="32"/>
          <w:szCs w:val="32"/>
          <w:lang w:eastAsia="zh-CN"/>
        </w:rPr>
        <w:t>建言献策，发挥好参谋咨询、桥梁纽带作用，支持</w:t>
      </w:r>
      <w:r>
        <w:rPr>
          <w:rFonts w:hint="eastAsia" w:ascii="仿宋" w:hAnsi="仿宋" w:eastAsia="仿宋" w:cs="仿宋"/>
          <w:sz w:val="32"/>
          <w:szCs w:val="32"/>
          <w:lang w:val="en-US" w:eastAsia="zh-CN"/>
        </w:rPr>
        <w:t>促进</w:t>
      </w:r>
      <w:r>
        <w:rPr>
          <w:rFonts w:hint="eastAsia" w:ascii="仿宋" w:hAnsi="仿宋" w:eastAsia="仿宋" w:cs="仿宋"/>
          <w:sz w:val="32"/>
          <w:szCs w:val="32"/>
          <w:lang w:eastAsia="zh-CN"/>
        </w:rPr>
        <w:t>体育事业发展。</w:t>
      </w:r>
    </w:p>
    <w:p>
      <w:pPr>
        <w:ind w:firstLine="640" w:firstLineChars="200"/>
        <w:rPr>
          <w:rFonts w:hint="default" w:ascii="仿宋" w:hAnsi="仿宋" w:eastAsia="仿宋" w:cs="仿宋"/>
          <w:sz w:val="32"/>
          <w:szCs w:val="32"/>
          <w:lang w:val="en-US"/>
        </w:rPr>
      </w:pPr>
      <w:r>
        <w:rPr>
          <w:rFonts w:hint="eastAsia" w:ascii="仿宋" w:hAnsi="仿宋" w:eastAsia="仿宋" w:cs="仿宋"/>
          <w:sz w:val="32"/>
          <w:szCs w:val="32"/>
          <w:lang w:val="en-US" w:eastAsia="zh-CN"/>
        </w:rPr>
        <w:t>4.市体育局依据《2023年淄博市政务公开工作方案》，认真梳理建立台账，认真抓好工作落实。一是管好日常。建立督导机制，以局办公会内容为参考，按照目录分工，确保信息及时发布，发布数据按月通报。二是管好质量。以市发布标准为参考，组织业务人员培训，实操指导，确保发布信息格式规范。三是管好队伍。建立激励机制，通过培训、座谈、树标杆等方式，及时肯定大家的付出，调动投入热情，提高业务水平，创设成长平台。四是管好重点。梳理政策文件出台的行文流程，重点做好意见征集和审核工作，以及各类文件、会议的解读和录入工作，能够多形式、多角度完成解读；能够及时查收群众来信，做好依申请公开信息的答复工作；关注舆情，及时做好政策性文件实施后评估，做好监测研判，目前无不良舆情反馈；充分发挥新媒体的宣传作用，讲好体育故事，做好群众强身健体的指导工作。</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420" w:firstLineChars="200"/>
        <w:rPr>
          <w:rFonts w:hint="eastAsia"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8F3CD"/>
    <w:multiLevelType w:val="singleLevel"/>
    <w:tmpl w:val="8618F3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C2749"/>
    <w:rsid w:val="002A4CE2"/>
    <w:rsid w:val="002A7F52"/>
    <w:rsid w:val="00312D95"/>
    <w:rsid w:val="004A0487"/>
    <w:rsid w:val="0052219C"/>
    <w:rsid w:val="0092667C"/>
    <w:rsid w:val="00C10AAD"/>
    <w:rsid w:val="00CC7E35"/>
    <w:rsid w:val="00D663E3"/>
    <w:rsid w:val="00E2554A"/>
    <w:rsid w:val="01214807"/>
    <w:rsid w:val="01225D05"/>
    <w:rsid w:val="0186240D"/>
    <w:rsid w:val="01ED512F"/>
    <w:rsid w:val="023A5733"/>
    <w:rsid w:val="024D6952"/>
    <w:rsid w:val="025C028A"/>
    <w:rsid w:val="026D4C89"/>
    <w:rsid w:val="02727617"/>
    <w:rsid w:val="028B6342"/>
    <w:rsid w:val="02B37D03"/>
    <w:rsid w:val="02B955A1"/>
    <w:rsid w:val="02C8731D"/>
    <w:rsid w:val="02DE3CC3"/>
    <w:rsid w:val="02FD42A7"/>
    <w:rsid w:val="03212312"/>
    <w:rsid w:val="033015AA"/>
    <w:rsid w:val="03A53246"/>
    <w:rsid w:val="03B60BF4"/>
    <w:rsid w:val="03BB0383"/>
    <w:rsid w:val="03C833BC"/>
    <w:rsid w:val="040D1D68"/>
    <w:rsid w:val="04127FF0"/>
    <w:rsid w:val="04182846"/>
    <w:rsid w:val="041A5C49"/>
    <w:rsid w:val="045C66B2"/>
    <w:rsid w:val="0481748A"/>
    <w:rsid w:val="0497020D"/>
    <w:rsid w:val="04B10C72"/>
    <w:rsid w:val="04C70CE5"/>
    <w:rsid w:val="04ED7B9D"/>
    <w:rsid w:val="050C6668"/>
    <w:rsid w:val="05945DB8"/>
    <w:rsid w:val="059F3DD0"/>
    <w:rsid w:val="05D9297D"/>
    <w:rsid w:val="05FC0C39"/>
    <w:rsid w:val="06501E37"/>
    <w:rsid w:val="06560515"/>
    <w:rsid w:val="06757B63"/>
    <w:rsid w:val="07162A05"/>
    <w:rsid w:val="071F45D4"/>
    <w:rsid w:val="07406A2A"/>
    <w:rsid w:val="07587341"/>
    <w:rsid w:val="075D0324"/>
    <w:rsid w:val="076F487D"/>
    <w:rsid w:val="07B07B3C"/>
    <w:rsid w:val="07B60F2B"/>
    <w:rsid w:val="07D237AD"/>
    <w:rsid w:val="08506633"/>
    <w:rsid w:val="08522AA9"/>
    <w:rsid w:val="087E6891"/>
    <w:rsid w:val="08891BA0"/>
    <w:rsid w:val="08EF3D5E"/>
    <w:rsid w:val="08FA75B8"/>
    <w:rsid w:val="09207C05"/>
    <w:rsid w:val="09220852"/>
    <w:rsid w:val="093F520E"/>
    <w:rsid w:val="094758C6"/>
    <w:rsid w:val="0960546A"/>
    <w:rsid w:val="0997694A"/>
    <w:rsid w:val="099A78CF"/>
    <w:rsid w:val="09AC306C"/>
    <w:rsid w:val="09B60D3F"/>
    <w:rsid w:val="09C03868"/>
    <w:rsid w:val="09E27CC3"/>
    <w:rsid w:val="0A181984"/>
    <w:rsid w:val="0A262D36"/>
    <w:rsid w:val="0A2842AD"/>
    <w:rsid w:val="0A6176E8"/>
    <w:rsid w:val="0A6C63AD"/>
    <w:rsid w:val="0A9B3807"/>
    <w:rsid w:val="0B005E8C"/>
    <w:rsid w:val="0B036EA1"/>
    <w:rsid w:val="0B0F34C1"/>
    <w:rsid w:val="0B5D4FB1"/>
    <w:rsid w:val="0B915BF2"/>
    <w:rsid w:val="0BAC42C0"/>
    <w:rsid w:val="0BC62F96"/>
    <w:rsid w:val="0C4E5BBE"/>
    <w:rsid w:val="0CC01204"/>
    <w:rsid w:val="0CC45547"/>
    <w:rsid w:val="0DC33923"/>
    <w:rsid w:val="0E2B6B38"/>
    <w:rsid w:val="0E471AC1"/>
    <w:rsid w:val="0E560192"/>
    <w:rsid w:val="0E6B56E7"/>
    <w:rsid w:val="0E907072"/>
    <w:rsid w:val="0EA1160E"/>
    <w:rsid w:val="0EB86543"/>
    <w:rsid w:val="0EC532D1"/>
    <w:rsid w:val="0EF31DCC"/>
    <w:rsid w:val="0F2021BD"/>
    <w:rsid w:val="0F2C35D5"/>
    <w:rsid w:val="0F406DF0"/>
    <w:rsid w:val="0F5116AE"/>
    <w:rsid w:val="0F743C73"/>
    <w:rsid w:val="0F752B68"/>
    <w:rsid w:val="0F7563EB"/>
    <w:rsid w:val="0F871B88"/>
    <w:rsid w:val="0F914C31"/>
    <w:rsid w:val="101045AD"/>
    <w:rsid w:val="10B33874"/>
    <w:rsid w:val="10DA6B10"/>
    <w:rsid w:val="10FF0879"/>
    <w:rsid w:val="117035C0"/>
    <w:rsid w:val="119706D0"/>
    <w:rsid w:val="11DE5560"/>
    <w:rsid w:val="11F5128F"/>
    <w:rsid w:val="12166C4C"/>
    <w:rsid w:val="1277225B"/>
    <w:rsid w:val="12A354B5"/>
    <w:rsid w:val="12AE1EE2"/>
    <w:rsid w:val="12C15B53"/>
    <w:rsid w:val="13E80E38"/>
    <w:rsid w:val="144D0B5D"/>
    <w:rsid w:val="146F5014"/>
    <w:rsid w:val="14927579"/>
    <w:rsid w:val="14B37F9A"/>
    <w:rsid w:val="15284F00"/>
    <w:rsid w:val="15300BA0"/>
    <w:rsid w:val="15504F07"/>
    <w:rsid w:val="155543B2"/>
    <w:rsid w:val="158A5D9C"/>
    <w:rsid w:val="15AE749F"/>
    <w:rsid w:val="15CC128A"/>
    <w:rsid w:val="164443FD"/>
    <w:rsid w:val="16705A25"/>
    <w:rsid w:val="16833FFF"/>
    <w:rsid w:val="168D01DC"/>
    <w:rsid w:val="16C9598E"/>
    <w:rsid w:val="174C4C03"/>
    <w:rsid w:val="178A06A1"/>
    <w:rsid w:val="17E838C7"/>
    <w:rsid w:val="17EC2347"/>
    <w:rsid w:val="18561F91"/>
    <w:rsid w:val="18613F79"/>
    <w:rsid w:val="18877F4D"/>
    <w:rsid w:val="18C71461"/>
    <w:rsid w:val="192D39F8"/>
    <w:rsid w:val="19345A02"/>
    <w:rsid w:val="1937378C"/>
    <w:rsid w:val="194F2D84"/>
    <w:rsid w:val="1954601C"/>
    <w:rsid w:val="19B011F8"/>
    <w:rsid w:val="1A135A0A"/>
    <w:rsid w:val="1A275733"/>
    <w:rsid w:val="1A2B0C0A"/>
    <w:rsid w:val="1A362E03"/>
    <w:rsid w:val="1A441457"/>
    <w:rsid w:val="1A4E7D37"/>
    <w:rsid w:val="1A7032F0"/>
    <w:rsid w:val="1A7A6ADD"/>
    <w:rsid w:val="1A961FCB"/>
    <w:rsid w:val="1AD61CA6"/>
    <w:rsid w:val="1AED41A2"/>
    <w:rsid w:val="1B03155F"/>
    <w:rsid w:val="1B6A2072"/>
    <w:rsid w:val="1BB4033A"/>
    <w:rsid w:val="1C08430B"/>
    <w:rsid w:val="1C1733B9"/>
    <w:rsid w:val="1C2162F7"/>
    <w:rsid w:val="1C2B1D66"/>
    <w:rsid w:val="1CB80C2C"/>
    <w:rsid w:val="1CCB3D05"/>
    <w:rsid w:val="1CD326F1"/>
    <w:rsid w:val="1CE6547E"/>
    <w:rsid w:val="1CE8182E"/>
    <w:rsid w:val="1D0432AA"/>
    <w:rsid w:val="1D6076C5"/>
    <w:rsid w:val="1DA76336"/>
    <w:rsid w:val="1DFC0265"/>
    <w:rsid w:val="1E1A3391"/>
    <w:rsid w:val="1E1B6F53"/>
    <w:rsid w:val="1E1C3D76"/>
    <w:rsid w:val="1E742207"/>
    <w:rsid w:val="1E8304EC"/>
    <w:rsid w:val="1EBC2993"/>
    <w:rsid w:val="1F9341DC"/>
    <w:rsid w:val="1FA5096E"/>
    <w:rsid w:val="1FAE0C8A"/>
    <w:rsid w:val="1FAF22AB"/>
    <w:rsid w:val="20122A9B"/>
    <w:rsid w:val="20136430"/>
    <w:rsid w:val="2046723E"/>
    <w:rsid w:val="206B48C0"/>
    <w:rsid w:val="206F2A37"/>
    <w:rsid w:val="206F5021"/>
    <w:rsid w:val="20776154"/>
    <w:rsid w:val="20C650CF"/>
    <w:rsid w:val="20DC30C5"/>
    <w:rsid w:val="21032365"/>
    <w:rsid w:val="21360C2D"/>
    <w:rsid w:val="21446739"/>
    <w:rsid w:val="215C2673"/>
    <w:rsid w:val="218F7DE7"/>
    <w:rsid w:val="21C30ACF"/>
    <w:rsid w:val="21E21B23"/>
    <w:rsid w:val="224B5817"/>
    <w:rsid w:val="22602FCE"/>
    <w:rsid w:val="22933AE4"/>
    <w:rsid w:val="229D6919"/>
    <w:rsid w:val="22D74128"/>
    <w:rsid w:val="22DF57F0"/>
    <w:rsid w:val="22F7746D"/>
    <w:rsid w:val="22FF133D"/>
    <w:rsid w:val="230556DC"/>
    <w:rsid w:val="231904A7"/>
    <w:rsid w:val="233926A1"/>
    <w:rsid w:val="238B6AB5"/>
    <w:rsid w:val="238D0497"/>
    <w:rsid w:val="23CD61CB"/>
    <w:rsid w:val="23D703ED"/>
    <w:rsid w:val="23DF5186"/>
    <w:rsid w:val="23EE00E9"/>
    <w:rsid w:val="244615C9"/>
    <w:rsid w:val="249D25C4"/>
    <w:rsid w:val="24BA1756"/>
    <w:rsid w:val="255911D5"/>
    <w:rsid w:val="259A1C3E"/>
    <w:rsid w:val="25C32E03"/>
    <w:rsid w:val="25D61E24"/>
    <w:rsid w:val="25D6463D"/>
    <w:rsid w:val="260625F3"/>
    <w:rsid w:val="26312744"/>
    <w:rsid w:val="26AD0802"/>
    <w:rsid w:val="26B46060"/>
    <w:rsid w:val="27074394"/>
    <w:rsid w:val="27765109"/>
    <w:rsid w:val="278A2608"/>
    <w:rsid w:val="27946113"/>
    <w:rsid w:val="27D327E3"/>
    <w:rsid w:val="27DA1506"/>
    <w:rsid w:val="281F2C62"/>
    <w:rsid w:val="28312B6E"/>
    <w:rsid w:val="2846729E"/>
    <w:rsid w:val="28D55967"/>
    <w:rsid w:val="28FF44CE"/>
    <w:rsid w:val="290C37E4"/>
    <w:rsid w:val="293E52B8"/>
    <w:rsid w:val="2A0C5611"/>
    <w:rsid w:val="2A9E3F7B"/>
    <w:rsid w:val="2ABB6D8D"/>
    <w:rsid w:val="2ADD5C9F"/>
    <w:rsid w:val="2AE3361A"/>
    <w:rsid w:val="2AE34015"/>
    <w:rsid w:val="2AEF3974"/>
    <w:rsid w:val="2B3631F4"/>
    <w:rsid w:val="2B4E6C4C"/>
    <w:rsid w:val="2BB03683"/>
    <w:rsid w:val="2BD155F1"/>
    <w:rsid w:val="2BE035A1"/>
    <w:rsid w:val="2BE769B3"/>
    <w:rsid w:val="2BFB117D"/>
    <w:rsid w:val="2C064763"/>
    <w:rsid w:val="2C08354D"/>
    <w:rsid w:val="2C441973"/>
    <w:rsid w:val="2C863E1B"/>
    <w:rsid w:val="2CAB5E37"/>
    <w:rsid w:val="2CEF10B6"/>
    <w:rsid w:val="2CEF68BB"/>
    <w:rsid w:val="2D7D0CB5"/>
    <w:rsid w:val="2D8F5FC4"/>
    <w:rsid w:val="2DAC5DFC"/>
    <w:rsid w:val="2DB27326"/>
    <w:rsid w:val="2DD102D9"/>
    <w:rsid w:val="2E215953"/>
    <w:rsid w:val="2E4A32B9"/>
    <w:rsid w:val="2EC60C87"/>
    <w:rsid w:val="2F0A41E8"/>
    <w:rsid w:val="2F1745FE"/>
    <w:rsid w:val="2FAB4337"/>
    <w:rsid w:val="2FB60D62"/>
    <w:rsid w:val="2FDA72B7"/>
    <w:rsid w:val="2FDD4ABF"/>
    <w:rsid w:val="2FF17B77"/>
    <w:rsid w:val="30052AD8"/>
    <w:rsid w:val="30241D08"/>
    <w:rsid w:val="304A4828"/>
    <w:rsid w:val="30576D23"/>
    <w:rsid w:val="305F6960"/>
    <w:rsid w:val="3081665F"/>
    <w:rsid w:val="308A52D2"/>
    <w:rsid w:val="30E25BAB"/>
    <w:rsid w:val="30F22D06"/>
    <w:rsid w:val="31075B7E"/>
    <w:rsid w:val="31422527"/>
    <w:rsid w:val="315367A4"/>
    <w:rsid w:val="31537258"/>
    <w:rsid w:val="316E5D8D"/>
    <w:rsid w:val="319C2749"/>
    <w:rsid w:val="31CB333D"/>
    <w:rsid w:val="323B4C49"/>
    <w:rsid w:val="3272679E"/>
    <w:rsid w:val="327531AC"/>
    <w:rsid w:val="328346C4"/>
    <w:rsid w:val="32DF53C0"/>
    <w:rsid w:val="332E4223"/>
    <w:rsid w:val="33360850"/>
    <w:rsid w:val="333D3087"/>
    <w:rsid w:val="33534DB2"/>
    <w:rsid w:val="336D1938"/>
    <w:rsid w:val="33854FBB"/>
    <w:rsid w:val="33D25399"/>
    <w:rsid w:val="35040E2E"/>
    <w:rsid w:val="35247BBC"/>
    <w:rsid w:val="35A41D2F"/>
    <w:rsid w:val="35D971AD"/>
    <w:rsid w:val="363E1D92"/>
    <w:rsid w:val="36716136"/>
    <w:rsid w:val="36886BA5"/>
    <w:rsid w:val="369E1627"/>
    <w:rsid w:val="369E5EFD"/>
    <w:rsid w:val="36AE76C3"/>
    <w:rsid w:val="36B324D4"/>
    <w:rsid w:val="36B94E42"/>
    <w:rsid w:val="36F82FBB"/>
    <w:rsid w:val="37050E78"/>
    <w:rsid w:val="371B583A"/>
    <w:rsid w:val="3773222C"/>
    <w:rsid w:val="377D1D01"/>
    <w:rsid w:val="378F15B9"/>
    <w:rsid w:val="37E97CE5"/>
    <w:rsid w:val="386B13A1"/>
    <w:rsid w:val="38844D36"/>
    <w:rsid w:val="389B146D"/>
    <w:rsid w:val="38DF308A"/>
    <w:rsid w:val="38EF67AC"/>
    <w:rsid w:val="38F23A7B"/>
    <w:rsid w:val="39325837"/>
    <w:rsid w:val="39580B07"/>
    <w:rsid w:val="395934D5"/>
    <w:rsid w:val="39D457C3"/>
    <w:rsid w:val="39D62C67"/>
    <w:rsid w:val="3A0D046E"/>
    <w:rsid w:val="3AA579EC"/>
    <w:rsid w:val="3AE713A2"/>
    <w:rsid w:val="3B2A2581"/>
    <w:rsid w:val="3BA62369"/>
    <w:rsid w:val="3BE657CC"/>
    <w:rsid w:val="3C5F5E41"/>
    <w:rsid w:val="3C6D7BCE"/>
    <w:rsid w:val="3C894C46"/>
    <w:rsid w:val="3C8A164C"/>
    <w:rsid w:val="3C8F5B6A"/>
    <w:rsid w:val="3CB75843"/>
    <w:rsid w:val="3D1E1B44"/>
    <w:rsid w:val="3D327614"/>
    <w:rsid w:val="3D6735FC"/>
    <w:rsid w:val="3DE5778F"/>
    <w:rsid w:val="3E69293C"/>
    <w:rsid w:val="3E7E1E69"/>
    <w:rsid w:val="3ED35F35"/>
    <w:rsid w:val="3EDA2DBB"/>
    <w:rsid w:val="3F0944B2"/>
    <w:rsid w:val="3F395543"/>
    <w:rsid w:val="3F4D7124"/>
    <w:rsid w:val="3F6433E9"/>
    <w:rsid w:val="3F842686"/>
    <w:rsid w:val="3FBE5DE0"/>
    <w:rsid w:val="4057269D"/>
    <w:rsid w:val="40A37299"/>
    <w:rsid w:val="410D0EC7"/>
    <w:rsid w:val="410F6B6D"/>
    <w:rsid w:val="412E5DC8"/>
    <w:rsid w:val="41595743"/>
    <w:rsid w:val="417661AF"/>
    <w:rsid w:val="41B21ABA"/>
    <w:rsid w:val="41D44452"/>
    <w:rsid w:val="420723E4"/>
    <w:rsid w:val="42177C6A"/>
    <w:rsid w:val="422820FD"/>
    <w:rsid w:val="422E6914"/>
    <w:rsid w:val="4280306D"/>
    <w:rsid w:val="42BA4BD5"/>
    <w:rsid w:val="43082B01"/>
    <w:rsid w:val="430F6681"/>
    <w:rsid w:val="436808F6"/>
    <w:rsid w:val="43841CE2"/>
    <w:rsid w:val="438C21E0"/>
    <w:rsid w:val="43D7712A"/>
    <w:rsid w:val="43F85DA4"/>
    <w:rsid w:val="4418643F"/>
    <w:rsid w:val="441C5024"/>
    <w:rsid w:val="44360E19"/>
    <w:rsid w:val="4488337C"/>
    <w:rsid w:val="448858FB"/>
    <w:rsid w:val="44FF065A"/>
    <w:rsid w:val="44FF73EB"/>
    <w:rsid w:val="453018E4"/>
    <w:rsid w:val="453D3971"/>
    <w:rsid w:val="45833617"/>
    <w:rsid w:val="458B3759"/>
    <w:rsid w:val="4594368E"/>
    <w:rsid w:val="45AA6CD7"/>
    <w:rsid w:val="45C554EE"/>
    <w:rsid w:val="45D34D26"/>
    <w:rsid w:val="45DB50DB"/>
    <w:rsid w:val="45F43203"/>
    <w:rsid w:val="45F535FB"/>
    <w:rsid w:val="45FB3050"/>
    <w:rsid w:val="460B12FA"/>
    <w:rsid w:val="46906360"/>
    <w:rsid w:val="46B5135B"/>
    <w:rsid w:val="46E447F5"/>
    <w:rsid w:val="4752380F"/>
    <w:rsid w:val="475D29DA"/>
    <w:rsid w:val="477024AA"/>
    <w:rsid w:val="4786306B"/>
    <w:rsid w:val="47874C6A"/>
    <w:rsid w:val="47A47D96"/>
    <w:rsid w:val="47AE7D5D"/>
    <w:rsid w:val="47E77ED8"/>
    <w:rsid w:val="48316A90"/>
    <w:rsid w:val="483825A5"/>
    <w:rsid w:val="485458B8"/>
    <w:rsid w:val="487E0D7E"/>
    <w:rsid w:val="48835206"/>
    <w:rsid w:val="48AF1CB6"/>
    <w:rsid w:val="490C02AC"/>
    <w:rsid w:val="49275D14"/>
    <w:rsid w:val="49582C60"/>
    <w:rsid w:val="49801C26"/>
    <w:rsid w:val="49EE29C3"/>
    <w:rsid w:val="4A472245"/>
    <w:rsid w:val="4A9B6934"/>
    <w:rsid w:val="4ABC3E47"/>
    <w:rsid w:val="4ADD008F"/>
    <w:rsid w:val="4B061C17"/>
    <w:rsid w:val="4B521B21"/>
    <w:rsid w:val="4B782F06"/>
    <w:rsid w:val="4B842EDC"/>
    <w:rsid w:val="4B8A16A6"/>
    <w:rsid w:val="4BB50960"/>
    <w:rsid w:val="4BDF3624"/>
    <w:rsid w:val="4C01247F"/>
    <w:rsid w:val="4C1C43D1"/>
    <w:rsid w:val="4C507CA7"/>
    <w:rsid w:val="4C5C46A5"/>
    <w:rsid w:val="4C8C050C"/>
    <w:rsid w:val="4C9A4B50"/>
    <w:rsid w:val="4CC34AE1"/>
    <w:rsid w:val="4CD82C22"/>
    <w:rsid w:val="4CF24602"/>
    <w:rsid w:val="4D480F29"/>
    <w:rsid w:val="4D774DC1"/>
    <w:rsid w:val="4DD12AB7"/>
    <w:rsid w:val="4DD672C1"/>
    <w:rsid w:val="4DD842F4"/>
    <w:rsid w:val="4DDD6C4C"/>
    <w:rsid w:val="4DF171AB"/>
    <w:rsid w:val="4E0E3C37"/>
    <w:rsid w:val="4E3F2961"/>
    <w:rsid w:val="4E6B55B6"/>
    <w:rsid w:val="4E6D2205"/>
    <w:rsid w:val="4EB92D8C"/>
    <w:rsid w:val="4F0118CE"/>
    <w:rsid w:val="4F155E91"/>
    <w:rsid w:val="4F316892"/>
    <w:rsid w:val="4F720270"/>
    <w:rsid w:val="4FAC13C8"/>
    <w:rsid w:val="4FE87FA6"/>
    <w:rsid w:val="50281819"/>
    <w:rsid w:val="502E6CCA"/>
    <w:rsid w:val="50406670"/>
    <w:rsid w:val="504378D5"/>
    <w:rsid w:val="50446CF3"/>
    <w:rsid w:val="50C537C8"/>
    <w:rsid w:val="50E33783"/>
    <w:rsid w:val="515C3FCD"/>
    <w:rsid w:val="51693635"/>
    <w:rsid w:val="519068A9"/>
    <w:rsid w:val="521572B6"/>
    <w:rsid w:val="524674A7"/>
    <w:rsid w:val="52A1019F"/>
    <w:rsid w:val="52FA56AC"/>
    <w:rsid w:val="52FF0538"/>
    <w:rsid w:val="53071556"/>
    <w:rsid w:val="53166E17"/>
    <w:rsid w:val="53265590"/>
    <w:rsid w:val="5393682D"/>
    <w:rsid w:val="53BF59C2"/>
    <w:rsid w:val="53E727D9"/>
    <w:rsid w:val="542F28A3"/>
    <w:rsid w:val="542F4608"/>
    <w:rsid w:val="5498521D"/>
    <w:rsid w:val="54AC504C"/>
    <w:rsid w:val="54B4237B"/>
    <w:rsid w:val="54D33936"/>
    <w:rsid w:val="54FF3501"/>
    <w:rsid w:val="54FF4580"/>
    <w:rsid w:val="555C5E19"/>
    <w:rsid w:val="55716CC4"/>
    <w:rsid w:val="55C92176"/>
    <w:rsid w:val="55DF21EA"/>
    <w:rsid w:val="55F46C38"/>
    <w:rsid w:val="561C339F"/>
    <w:rsid w:val="56395C18"/>
    <w:rsid w:val="564D7222"/>
    <w:rsid w:val="565E17CD"/>
    <w:rsid w:val="56D02E74"/>
    <w:rsid w:val="579E03AC"/>
    <w:rsid w:val="58270C07"/>
    <w:rsid w:val="584B1B91"/>
    <w:rsid w:val="58B80D9D"/>
    <w:rsid w:val="58EF7EF3"/>
    <w:rsid w:val="59274753"/>
    <w:rsid w:val="59874BEF"/>
    <w:rsid w:val="599453A1"/>
    <w:rsid w:val="599B731D"/>
    <w:rsid w:val="599D40D1"/>
    <w:rsid w:val="59CC54D1"/>
    <w:rsid w:val="59DF2D89"/>
    <w:rsid w:val="5A1A2C48"/>
    <w:rsid w:val="5A4F48D2"/>
    <w:rsid w:val="5A5B0028"/>
    <w:rsid w:val="5A5C205C"/>
    <w:rsid w:val="5A784FE0"/>
    <w:rsid w:val="5AA05ABE"/>
    <w:rsid w:val="5AE07E43"/>
    <w:rsid w:val="5B0311A3"/>
    <w:rsid w:val="5B4638CB"/>
    <w:rsid w:val="5BA64F55"/>
    <w:rsid w:val="5BFA5AF1"/>
    <w:rsid w:val="5C220A19"/>
    <w:rsid w:val="5C376149"/>
    <w:rsid w:val="5C807744"/>
    <w:rsid w:val="5D026B03"/>
    <w:rsid w:val="5D1B1F64"/>
    <w:rsid w:val="5D497471"/>
    <w:rsid w:val="5D927305"/>
    <w:rsid w:val="5DA612A9"/>
    <w:rsid w:val="5DD73057"/>
    <w:rsid w:val="5E471CBA"/>
    <w:rsid w:val="5E613A07"/>
    <w:rsid w:val="5E9E361E"/>
    <w:rsid w:val="5EAF5375"/>
    <w:rsid w:val="5EDC09DE"/>
    <w:rsid w:val="5EE16635"/>
    <w:rsid w:val="5EE66D4B"/>
    <w:rsid w:val="5F133EBC"/>
    <w:rsid w:val="5F2B1033"/>
    <w:rsid w:val="5F59417A"/>
    <w:rsid w:val="5F857E6C"/>
    <w:rsid w:val="5F93775D"/>
    <w:rsid w:val="5F9C00AE"/>
    <w:rsid w:val="5F9E5AEE"/>
    <w:rsid w:val="5FB9411A"/>
    <w:rsid w:val="5FC82F43"/>
    <w:rsid w:val="5FCD21C1"/>
    <w:rsid w:val="5FDA7ED2"/>
    <w:rsid w:val="601E6CB9"/>
    <w:rsid w:val="604E7E90"/>
    <w:rsid w:val="605D6E26"/>
    <w:rsid w:val="606A58A3"/>
    <w:rsid w:val="60D7326D"/>
    <w:rsid w:val="60EA2489"/>
    <w:rsid w:val="61312681"/>
    <w:rsid w:val="613434A0"/>
    <w:rsid w:val="61B4156A"/>
    <w:rsid w:val="61BC6D65"/>
    <w:rsid w:val="61DE6745"/>
    <w:rsid w:val="61E45427"/>
    <w:rsid w:val="622E1DD7"/>
    <w:rsid w:val="628C2F3F"/>
    <w:rsid w:val="62AE69E2"/>
    <w:rsid w:val="62BD568B"/>
    <w:rsid w:val="62E61C15"/>
    <w:rsid w:val="63041517"/>
    <w:rsid w:val="630B7BAF"/>
    <w:rsid w:val="630F2555"/>
    <w:rsid w:val="633F0D38"/>
    <w:rsid w:val="635E0529"/>
    <w:rsid w:val="63B87C72"/>
    <w:rsid w:val="63C03FB5"/>
    <w:rsid w:val="63FE3A99"/>
    <w:rsid w:val="645A5051"/>
    <w:rsid w:val="6470717E"/>
    <w:rsid w:val="64AF38BD"/>
    <w:rsid w:val="65324396"/>
    <w:rsid w:val="65397F9E"/>
    <w:rsid w:val="659459A7"/>
    <w:rsid w:val="660630EB"/>
    <w:rsid w:val="663B3AE2"/>
    <w:rsid w:val="66751F24"/>
    <w:rsid w:val="66C17925"/>
    <w:rsid w:val="67080599"/>
    <w:rsid w:val="6714185A"/>
    <w:rsid w:val="671C13A7"/>
    <w:rsid w:val="672E161E"/>
    <w:rsid w:val="675079C7"/>
    <w:rsid w:val="676C7CE8"/>
    <w:rsid w:val="67B31A59"/>
    <w:rsid w:val="67D469E8"/>
    <w:rsid w:val="67EA5075"/>
    <w:rsid w:val="67EF507E"/>
    <w:rsid w:val="680A6A86"/>
    <w:rsid w:val="68201DA3"/>
    <w:rsid w:val="68631A62"/>
    <w:rsid w:val="686829EE"/>
    <w:rsid w:val="687312B2"/>
    <w:rsid w:val="687E249C"/>
    <w:rsid w:val="69374FAB"/>
    <w:rsid w:val="697D7C9D"/>
    <w:rsid w:val="699D365E"/>
    <w:rsid w:val="69A16BD8"/>
    <w:rsid w:val="69BB6E8B"/>
    <w:rsid w:val="69F2513F"/>
    <w:rsid w:val="6A253C4A"/>
    <w:rsid w:val="6A2F3E40"/>
    <w:rsid w:val="6A2F6B09"/>
    <w:rsid w:val="6A3E775F"/>
    <w:rsid w:val="6A563204"/>
    <w:rsid w:val="6A734BB3"/>
    <w:rsid w:val="6A8F06EF"/>
    <w:rsid w:val="6B1B6948"/>
    <w:rsid w:val="6B221653"/>
    <w:rsid w:val="6B636910"/>
    <w:rsid w:val="6B68016F"/>
    <w:rsid w:val="6B7D02C5"/>
    <w:rsid w:val="6B7E1C17"/>
    <w:rsid w:val="6BE54C14"/>
    <w:rsid w:val="6BED52E3"/>
    <w:rsid w:val="6BEE421F"/>
    <w:rsid w:val="6C33121F"/>
    <w:rsid w:val="6C5115FE"/>
    <w:rsid w:val="6C5F6728"/>
    <w:rsid w:val="6C9155E1"/>
    <w:rsid w:val="6C9B75AC"/>
    <w:rsid w:val="6CA63A6F"/>
    <w:rsid w:val="6CD92981"/>
    <w:rsid w:val="6CE87FE7"/>
    <w:rsid w:val="6CF1525A"/>
    <w:rsid w:val="6D031B69"/>
    <w:rsid w:val="6D132982"/>
    <w:rsid w:val="6D195F0B"/>
    <w:rsid w:val="6D4547D0"/>
    <w:rsid w:val="6D4701D3"/>
    <w:rsid w:val="6D4D25BF"/>
    <w:rsid w:val="6D8C1A2D"/>
    <w:rsid w:val="6D9867D5"/>
    <w:rsid w:val="6DCA59B4"/>
    <w:rsid w:val="6E08500E"/>
    <w:rsid w:val="6E393EE2"/>
    <w:rsid w:val="6E4763FE"/>
    <w:rsid w:val="6E5A7ACE"/>
    <w:rsid w:val="6E866461"/>
    <w:rsid w:val="6F1612CC"/>
    <w:rsid w:val="6F262767"/>
    <w:rsid w:val="6F4512F1"/>
    <w:rsid w:val="6F4F50F2"/>
    <w:rsid w:val="6FC41EEC"/>
    <w:rsid w:val="6FCC3C3C"/>
    <w:rsid w:val="6FD60875"/>
    <w:rsid w:val="707D052F"/>
    <w:rsid w:val="70997814"/>
    <w:rsid w:val="70D43D18"/>
    <w:rsid w:val="70D7016B"/>
    <w:rsid w:val="71082CA7"/>
    <w:rsid w:val="710956BA"/>
    <w:rsid w:val="711C56E7"/>
    <w:rsid w:val="71460EF3"/>
    <w:rsid w:val="718564F6"/>
    <w:rsid w:val="722B2987"/>
    <w:rsid w:val="72397D38"/>
    <w:rsid w:val="72AF0142"/>
    <w:rsid w:val="72CD30EE"/>
    <w:rsid w:val="72D52784"/>
    <w:rsid w:val="72EA006E"/>
    <w:rsid w:val="73247774"/>
    <w:rsid w:val="736F7BE2"/>
    <w:rsid w:val="73861B26"/>
    <w:rsid w:val="74192328"/>
    <w:rsid w:val="74640101"/>
    <w:rsid w:val="7475233D"/>
    <w:rsid w:val="74BA16E4"/>
    <w:rsid w:val="74C54CA2"/>
    <w:rsid w:val="74FA0F84"/>
    <w:rsid w:val="74FD7D07"/>
    <w:rsid w:val="75831B45"/>
    <w:rsid w:val="758C6B4A"/>
    <w:rsid w:val="75A56BC1"/>
    <w:rsid w:val="75BF35B6"/>
    <w:rsid w:val="75C87510"/>
    <w:rsid w:val="75F73955"/>
    <w:rsid w:val="75FF404E"/>
    <w:rsid w:val="763B7D07"/>
    <w:rsid w:val="76566332"/>
    <w:rsid w:val="76A66F0D"/>
    <w:rsid w:val="76C50674"/>
    <w:rsid w:val="76E81B9F"/>
    <w:rsid w:val="77141281"/>
    <w:rsid w:val="77156382"/>
    <w:rsid w:val="77263FB4"/>
    <w:rsid w:val="783004F7"/>
    <w:rsid w:val="783278CF"/>
    <w:rsid w:val="784F3157"/>
    <w:rsid w:val="7868289A"/>
    <w:rsid w:val="788C7BF2"/>
    <w:rsid w:val="78A36E1D"/>
    <w:rsid w:val="78D302B2"/>
    <w:rsid w:val="78E764BB"/>
    <w:rsid w:val="79032A98"/>
    <w:rsid w:val="79090883"/>
    <w:rsid w:val="792F355C"/>
    <w:rsid w:val="794011D7"/>
    <w:rsid w:val="796D008E"/>
    <w:rsid w:val="797F00BA"/>
    <w:rsid w:val="79820DE8"/>
    <w:rsid w:val="79F91C4F"/>
    <w:rsid w:val="7A187718"/>
    <w:rsid w:val="7A4E4EE6"/>
    <w:rsid w:val="7A756E73"/>
    <w:rsid w:val="7A8F2B36"/>
    <w:rsid w:val="7AB15C57"/>
    <w:rsid w:val="7ABD2610"/>
    <w:rsid w:val="7AC96B81"/>
    <w:rsid w:val="7AE90A41"/>
    <w:rsid w:val="7AEB07A7"/>
    <w:rsid w:val="7AEF0E11"/>
    <w:rsid w:val="7AF735E9"/>
    <w:rsid w:val="7B614E8B"/>
    <w:rsid w:val="7B680B0D"/>
    <w:rsid w:val="7B8D2142"/>
    <w:rsid w:val="7B913009"/>
    <w:rsid w:val="7BA8076D"/>
    <w:rsid w:val="7BAC5D7C"/>
    <w:rsid w:val="7BBD1ED6"/>
    <w:rsid w:val="7C810932"/>
    <w:rsid w:val="7CB2672B"/>
    <w:rsid w:val="7D0262F2"/>
    <w:rsid w:val="7D892E81"/>
    <w:rsid w:val="7E273FCC"/>
    <w:rsid w:val="7E49406D"/>
    <w:rsid w:val="7E997875"/>
    <w:rsid w:val="7EAC6D17"/>
    <w:rsid w:val="7F111623"/>
    <w:rsid w:val="7F3216C6"/>
    <w:rsid w:val="7F5D2C78"/>
    <w:rsid w:val="7FDF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6"/>
    <w:basedOn w:val="1"/>
    <w:next w:val="1"/>
    <w:unhideWhenUsed/>
    <w:qFormat/>
    <w:uiPriority w:val="9"/>
    <w:pPr>
      <w:keepNext/>
      <w:keepLines/>
      <w:spacing w:before="240" w:after="64" w:line="320" w:lineRule="auto"/>
      <w:outlineLvl w:val="5"/>
    </w:pPr>
    <w:rPr>
      <w:rFonts w:ascii="Cambria" w:hAnsi="Cambria" w:eastAsia="宋体" w:cs="Times New Roman"/>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3"/>
    <w:qFormat/>
    <w:uiPriority w:val="0"/>
    <w:pPr>
      <w:spacing w:after="120"/>
      <w:textAlignment w:val="baseline"/>
    </w:pPr>
  </w:style>
  <w:style w:type="paragraph" w:customStyle="1" w:styleId="3">
    <w:name w:val="正文 New"/>
    <w:next w:val="2"/>
    <w:qFormat/>
    <w:uiPriority w:val="0"/>
    <w:pPr>
      <w:widowControl w:val="0"/>
      <w:jc w:val="both"/>
    </w:pPr>
    <w:rPr>
      <w:rFonts w:ascii="Times New Roman" w:hAnsi="Times New Roman" w:eastAsia="宋体" w:cs="Times New Roman"/>
      <w:kern w:val="2"/>
      <w:sz w:val="21"/>
      <w:lang w:val="en-US" w:eastAsia="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新A4正文"/>
    <w:basedOn w:val="1"/>
    <w:qFormat/>
    <w:uiPriority w:val="0"/>
    <w:pPr>
      <w:ind w:firstLine="698" w:firstLineChars="133"/>
    </w:pPr>
    <w:rPr>
      <w:spacing w:val="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总量</a:t>
            </a:r>
            <a:r>
              <a:rPr lang="en-US" altLang="zh-CN"/>
              <a:t>710</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工作表.xls]Sheet1'!$A$1:$D$1</c:f>
              <c:strCache>
                <c:ptCount val="4"/>
                <c:pt idx="0">
                  <c:v>政务公开</c:v>
                </c:pt>
                <c:pt idx="1">
                  <c:v>业务信息</c:v>
                </c:pt>
                <c:pt idx="2">
                  <c:v>通知公告</c:v>
                </c:pt>
                <c:pt idx="3">
                  <c:v>其他信息</c:v>
                </c:pt>
              </c:strCache>
            </c:strRef>
          </c:cat>
          <c:val>
            <c:numRef>
              <c:f>'[新建 XLS 工作表.xls]Sheet1'!$A$2:$D$2</c:f>
              <c:numCache>
                <c:formatCode>General</c:formatCode>
                <c:ptCount val="4"/>
                <c:pt idx="0">
                  <c:v>233</c:v>
                </c:pt>
                <c:pt idx="1">
                  <c:v>150</c:v>
                </c:pt>
                <c:pt idx="2">
                  <c:v>24</c:v>
                </c:pt>
                <c:pt idx="3">
                  <c:v>303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依申请办件量</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工作表.xls]Sheet1'!$A$1:$D$1</c:f>
              <c:strCache>
                <c:ptCount val="4"/>
                <c:pt idx="0">
                  <c:v>2020年</c:v>
                </c:pt>
                <c:pt idx="1">
                  <c:v>2021年</c:v>
                </c:pt>
                <c:pt idx="2">
                  <c:v>2022年</c:v>
                </c:pt>
                <c:pt idx="3">
                  <c:v>2023年</c:v>
                </c:pt>
              </c:strCache>
            </c:strRef>
          </c:cat>
          <c:val>
            <c:numRef>
              <c:f>'[新建 XLS 工作表.xls]Sheet1'!$A$2:$D$2</c:f>
              <c:numCache>
                <c:formatCode>General</c:formatCode>
                <c:ptCount val="4"/>
                <c:pt idx="0">
                  <c:v>26</c:v>
                </c:pt>
                <c:pt idx="1">
                  <c:v>11</c:v>
                </c:pt>
                <c:pt idx="2">
                  <c:v>4</c:v>
                </c:pt>
                <c:pt idx="3">
                  <c:v>2</c:v>
                </c:pt>
              </c:numCache>
            </c:numRef>
          </c:val>
        </c:ser>
        <c:dLbls>
          <c:showLegendKey val="0"/>
          <c:showVal val="1"/>
          <c:showCatName val="0"/>
          <c:showSerName val="0"/>
          <c:showPercent val="0"/>
          <c:showBubbleSize val="0"/>
        </c:dLbls>
        <c:gapWidth val="219"/>
        <c:overlap val="-27"/>
        <c:axId val="523654016"/>
        <c:axId val="575940721"/>
      </c:barChart>
      <c:catAx>
        <c:axId val="5236540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5940721"/>
        <c:crosses val="autoZero"/>
        <c:auto val="1"/>
        <c:lblAlgn val="ctr"/>
        <c:lblOffset val="100"/>
        <c:noMultiLvlLbl val="0"/>
      </c:catAx>
      <c:valAx>
        <c:axId val="57594072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654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2023-01-12T06:16:00Z</dcterms:created>
  <dc:creator>霄笑</dc:creator>
  <cp:lastModifiedBy>Administrator</cp:lastModifiedBy>
  <cp:lastPrinted>2023-01-12T08:12:00Z</cp:lastPrinted>
  <dcterms:modified xsi:type="dcterms:W3CDTF">2024-01-24T03:53:44Z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C26A4413EA1B4BA6BFDE2A55FBDABBF5</vt:lpwstr>
  </property>
</Properties>
</file>