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right"/>
        <w:rPr>
          <w:rFonts w:hint="eastAsia" w:ascii="仿宋_GB2312" w:hAnsi="微软雅黑" w:eastAsia="仿宋_GB2312" w:cs="仿宋_GB2312"/>
          <w:i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i w:val="0"/>
          <w:caps w:val="0"/>
          <w:color w:val="000000"/>
          <w:spacing w:val="0"/>
          <w:sz w:val="44"/>
          <w:szCs w:val="44"/>
          <w:lang w:eastAsia="zh-CN"/>
        </w:rPr>
      </w:pPr>
      <w:r>
        <w:rPr>
          <w:rFonts w:hint="eastAsia" w:ascii="方正小标宋简体" w:hAnsi="方正小标宋简体" w:eastAsia="方正小标宋简体" w:cs="方正小标宋简体"/>
          <w:i w:val="0"/>
          <w:caps w:val="0"/>
          <w:color w:val="000000"/>
          <w:spacing w:val="0"/>
          <w:sz w:val="44"/>
          <w:szCs w:val="44"/>
          <w:lang w:eastAsia="zh-CN"/>
        </w:rPr>
        <w:t>淄博市体育局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i w:val="0"/>
          <w:caps w:val="0"/>
          <w:color w:val="000000"/>
          <w:spacing w:val="0"/>
          <w:sz w:val="44"/>
          <w:szCs w:val="44"/>
          <w:lang w:val="en-US" w:eastAsia="zh-CN"/>
        </w:rPr>
      </w:pPr>
      <w:r>
        <w:rPr>
          <w:rFonts w:hint="eastAsia" w:ascii="方正小标宋简体" w:hAnsi="方正小标宋简体" w:eastAsia="方正小标宋简体" w:cs="方正小标宋简体"/>
          <w:i w:val="0"/>
          <w:caps w:val="0"/>
          <w:color w:val="000000"/>
          <w:spacing w:val="0"/>
          <w:sz w:val="44"/>
          <w:szCs w:val="44"/>
          <w:lang w:val="en-US" w:eastAsia="zh-CN"/>
        </w:rPr>
        <w:t>2022年政府信息公开工作年度报告</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本年度报告根据</w:t>
      </w:r>
      <w:r>
        <w:rPr>
          <w:rFonts w:hint="eastAsia" w:ascii="仿宋" w:hAnsi="仿宋" w:eastAsia="仿宋" w:cs="仿宋"/>
          <w:sz w:val="32"/>
          <w:szCs w:val="32"/>
        </w:rPr>
        <w:t>《中华人民共和国政府信息公开条例》</w:t>
      </w:r>
      <w:r>
        <w:rPr>
          <w:rFonts w:hint="eastAsia" w:ascii="仿宋" w:hAnsi="仿宋" w:eastAsia="仿宋" w:cs="仿宋"/>
          <w:sz w:val="32"/>
          <w:szCs w:val="32"/>
          <w:lang w:eastAsia="zh-CN"/>
        </w:rPr>
        <w:t>和</w:t>
      </w:r>
      <w:r>
        <w:rPr>
          <w:rFonts w:hint="eastAsia" w:ascii="仿宋" w:hAnsi="仿宋" w:eastAsia="仿宋" w:cs="仿宋"/>
          <w:sz w:val="32"/>
          <w:szCs w:val="32"/>
        </w:rPr>
        <w:t>《</w:t>
      </w:r>
      <w:r>
        <w:rPr>
          <w:rFonts w:hint="eastAsia" w:ascii="仿宋" w:hAnsi="仿宋" w:eastAsia="仿宋" w:cs="仿宋"/>
          <w:sz w:val="32"/>
          <w:szCs w:val="32"/>
          <w:lang w:eastAsia="zh-CN"/>
        </w:rPr>
        <w:t>国务院办公厅政府信息与政务公开办公室关于印发</w:t>
      </w:r>
      <w:r>
        <w:rPr>
          <w:rFonts w:hint="eastAsia" w:ascii="仿宋" w:hAnsi="仿宋" w:eastAsia="仿宋" w:cs="仿宋"/>
          <w:sz w:val="32"/>
          <w:szCs w:val="32"/>
          <w:lang w:val="en-US" w:eastAsia="zh-CN"/>
        </w:rPr>
        <w:t>&lt;中华人民共和国信息公开工作年度报告格式&gt;的通知</w:t>
      </w:r>
      <w:r>
        <w:rPr>
          <w:rFonts w:hint="eastAsia" w:ascii="仿宋" w:hAnsi="仿宋" w:eastAsia="仿宋" w:cs="仿宋"/>
          <w:sz w:val="32"/>
          <w:szCs w:val="32"/>
        </w:rPr>
        <w:t>》</w:t>
      </w:r>
      <w:r>
        <w:rPr>
          <w:rFonts w:hint="eastAsia" w:ascii="仿宋" w:hAnsi="仿宋" w:eastAsia="仿宋" w:cs="仿宋"/>
          <w:sz w:val="32"/>
          <w:szCs w:val="32"/>
          <w:lang w:eastAsia="zh-CN"/>
        </w:rPr>
        <w:t>（国办公开办函</w:t>
      </w:r>
      <w:r>
        <w:rPr>
          <w:rFonts w:hint="eastAsia" w:ascii="仿宋" w:hAnsi="仿宋" w:eastAsia="仿宋" w:cs="仿宋"/>
          <w:sz w:val="32"/>
          <w:szCs w:val="32"/>
          <w:lang w:val="en-US" w:eastAsia="zh-CN"/>
        </w:rPr>
        <w:t>[2021]30号</w:t>
      </w:r>
      <w:r>
        <w:rPr>
          <w:rFonts w:hint="eastAsia" w:ascii="仿宋" w:hAnsi="仿宋" w:eastAsia="仿宋" w:cs="仿宋"/>
          <w:sz w:val="32"/>
          <w:szCs w:val="32"/>
          <w:lang w:eastAsia="zh-CN"/>
        </w:rPr>
        <w:t>）相关要求编制。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bookmarkStart w:id="0" w:name="_GoBack"/>
      <w:bookmarkEnd w:id="0"/>
      <w:r>
        <w:rPr>
          <w:rFonts w:hint="eastAsia" w:ascii="仿宋" w:hAnsi="仿宋" w:eastAsia="仿宋" w:cs="仿宋"/>
          <w:sz w:val="32"/>
          <w:szCs w:val="32"/>
          <w:lang w:eastAsia="zh-CN"/>
        </w:rPr>
        <w:t>本年度报告中所列数据的统计期限自2022年1月1日起，至2022年12月31日止。如对报告内容有疑问，请与淄博市体育局联系</w:t>
      </w:r>
      <w:r>
        <w:rPr>
          <w:rFonts w:hint="eastAsia" w:ascii="仿宋" w:hAnsi="仿宋" w:eastAsia="仿宋" w:cs="仿宋"/>
          <w:sz w:val="32"/>
          <w:szCs w:val="32"/>
        </w:rPr>
        <w:t>（地址：淄博市张店区人民西路321号</w:t>
      </w:r>
      <w:r>
        <w:rPr>
          <w:rFonts w:hint="eastAsia" w:ascii="仿宋" w:hAnsi="仿宋" w:eastAsia="仿宋" w:cs="仿宋"/>
          <w:sz w:val="32"/>
          <w:szCs w:val="32"/>
          <w:lang w:eastAsia="zh-CN"/>
        </w:rPr>
        <w:t>；邮编</w:t>
      </w:r>
      <w:r>
        <w:rPr>
          <w:rFonts w:hint="eastAsia" w:ascii="仿宋" w:hAnsi="仿宋" w:eastAsia="仿宋" w:cs="仿宋"/>
          <w:sz w:val="32"/>
          <w:szCs w:val="32"/>
        </w:rPr>
        <w:t>：255000</w:t>
      </w:r>
      <w:r>
        <w:rPr>
          <w:rFonts w:hint="eastAsia" w:ascii="仿宋" w:hAnsi="仿宋" w:eastAsia="仿宋" w:cs="仿宋"/>
          <w:sz w:val="32"/>
          <w:szCs w:val="32"/>
          <w:lang w:eastAsia="zh-CN"/>
        </w:rPr>
        <w:t>；电</w:t>
      </w:r>
      <w:r>
        <w:rPr>
          <w:rFonts w:hint="eastAsia" w:ascii="仿宋" w:hAnsi="仿宋" w:eastAsia="仿宋" w:cs="仿宋"/>
          <w:sz w:val="32"/>
          <w:szCs w:val="32"/>
        </w:rPr>
        <w:t>话：0533-2180704</w:t>
      </w:r>
      <w:r>
        <w:rPr>
          <w:rFonts w:hint="eastAsia" w:ascii="仿宋" w:hAnsi="仿宋" w:eastAsia="仿宋" w:cs="仿宋"/>
          <w:sz w:val="32"/>
          <w:szCs w:val="32"/>
          <w:lang w:eastAsia="zh-CN"/>
        </w:rPr>
        <w:t>；</w:t>
      </w:r>
      <w:r>
        <w:rPr>
          <w:rFonts w:hint="eastAsia" w:ascii="仿宋" w:hAnsi="仿宋" w:eastAsia="仿宋" w:cs="仿宋"/>
          <w:sz w:val="32"/>
          <w:szCs w:val="32"/>
        </w:rPr>
        <w:t>邮箱 zbstyj@zb.shandong.cn）。 </w:t>
      </w:r>
    </w:p>
    <w:p>
      <w:pPr>
        <w:numPr>
          <w:ilvl w:val="0"/>
          <w:numId w:val="1"/>
        </w:numPr>
        <w:ind w:firstLine="640" w:firstLineChars="200"/>
        <w:rPr>
          <w:rFonts w:hint="eastAsia" w:ascii="黑体" w:hAnsi="黑体" w:eastAsia="黑体" w:cs="黑体"/>
          <w:sz w:val="32"/>
          <w:szCs w:val="32"/>
        </w:rPr>
      </w:pPr>
      <w:r>
        <w:rPr>
          <w:rFonts w:hint="eastAsia" w:ascii="黑体" w:hAnsi="黑体" w:eastAsia="黑体" w:cs="黑体"/>
          <w:sz w:val="32"/>
          <w:szCs w:val="32"/>
        </w:rPr>
        <w:t>总体情况</w:t>
      </w:r>
    </w:p>
    <w:p>
      <w:pPr>
        <w:ind w:firstLine="640" w:firstLineChars="200"/>
        <w:rPr>
          <w:rFonts w:hint="eastAsia"/>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eastAsia="zh-CN"/>
        </w:rPr>
        <w:t>淄博</w:t>
      </w:r>
      <w:r>
        <w:rPr>
          <w:rFonts w:hint="eastAsia" w:ascii="仿宋" w:hAnsi="仿宋" w:eastAsia="仿宋" w:cs="仿宋"/>
          <w:sz w:val="32"/>
          <w:szCs w:val="32"/>
        </w:rPr>
        <w:t>市体育局</w:t>
      </w:r>
      <w:r>
        <w:rPr>
          <w:rFonts w:hint="eastAsia" w:ascii="仿宋" w:hAnsi="仿宋" w:eastAsia="仿宋" w:cs="仿宋"/>
          <w:sz w:val="32"/>
          <w:szCs w:val="32"/>
          <w:lang w:val="en-US" w:eastAsia="zh-CN"/>
        </w:rPr>
        <w:t>坚持以习近平新时代中国特色社会主义思想为指导，积极融入和服务新发展格局，认真落实国家、省、市关于政务公开工作决策部署，紧紧围绕市委、市政府中心工作和群众关注关切，</w:t>
      </w:r>
      <w:r>
        <w:rPr>
          <w:rFonts w:hint="eastAsia" w:ascii="仿宋" w:hAnsi="仿宋" w:eastAsia="仿宋" w:cs="仿宋"/>
          <w:sz w:val="32"/>
          <w:szCs w:val="32"/>
          <w:lang w:eastAsia="zh-CN"/>
        </w:rPr>
        <w:t>重落实、促规范、促服务，</w:t>
      </w:r>
      <w:r>
        <w:rPr>
          <w:rFonts w:hint="eastAsia" w:ascii="仿宋" w:hAnsi="仿宋" w:eastAsia="仿宋" w:cs="仿宋"/>
          <w:sz w:val="32"/>
          <w:szCs w:val="32"/>
        </w:rPr>
        <w:t>不断提高政务公开法治化、标准化、规范化水平，对社会各界掌握最新体育信息、推进体育强市建设起到了积极的作用。</w:t>
      </w:r>
    </w:p>
    <w:p>
      <w:pPr>
        <w:numPr>
          <w:ilvl w:val="0"/>
          <w:numId w:val="0"/>
        </w:numPr>
        <w:spacing w:line="560" w:lineRule="exact"/>
        <w:ind w:firstLine="643" w:firstLineChars="200"/>
        <w:rPr>
          <w:rFonts w:hint="eastAsia" w:ascii="仿宋" w:hAnsi="仿宋" w:eastAsia="仿宋" w:cs="仿宋"/>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主动公开情况。</w:t>
      </w:r>
      <w:r>
        <w:rPr>
          <w:rFonts w:hint="eastAsia" w:ascii="仿宋" w:hAnsi="仿宋" w:eastAsia="仿宋" w:cs="仿宋"/>
          <w:i w:val="0"/>
          <w:caps w:val="0"/>
          <w:color w:val="000000"/>
          <w:spacing w:val="0"/>
          <w:sz w:val="32"/>
          <w:szCs w:val="32"/>
          <w:shd w:val="clear" w:color="auto" w:fill="FFFFFF"/>
          <w:lang w:eastAsia="zh-CN"/>
        </w:rPr>
        <w:t>贯彻“应公开尽公开”的原则，开设基础信息和重点领域等</w:t>
      </w:r>
      <w:r>
        <w:rPr>
          <w:rFonts w:hint="eastAsia" w:ascii="仿宋" w:hAnsi="仿宋" w:eastAsia="仿宋" w:cs="仿宋"/>
          <w:i w:val="0"/>
          <w:caps w:val="0"/>
          <w:color w:val="000000"/>
          <w:spacing w:val="0"/>
          <w:sz w:val="32"/>
          <w:szCs w:val="32"/>
          <w:shd w:val="clear" w:color="auto" w:fill="FFFFFF"/>
          <w:lang w:val="en-US" w:eastAsia="zh-CN"/>
        </w:rPr>
        <w:t>20个法定主动公开栏目，注重政策性文件和会议的多种形式解读22条。2022年，我局官方网站共发布信息588条，其中政务公开214条，政务动态168条，通知公告51条，业务信息155条。</w:t>
      </w:r>
      <w:r>
        <w:rPr>
          <w:rFonts w:hint="eastAsia" w:ascii="仿宋" w:hAnsi="仿宋" w:eastAsia="仿宋" w:cs="仿宋"/>
          <w:sz w:val="32"/>
          <w:szCs w:val="32"/>
        </w:rPr>
        <w:t>在重点领域信息公开方面，</w:t>
      </w:r>
      <w:r>
        <w:rPr>
          <w:rFonts w:hint="eastAsia" w:ascii="仿宋" w:hAnsi="仿宋" w:eastAsia="仿宋" w:cs="仿宋"/>
          <w:sz w:val="32"/>
          <w:szCs w:val="32"/>
          <w:lang w:val="en-US" w:eastAsia="zh-CN"/>
        </w:rPr>
        <w:t>突出做好</w:t>
      </w:r>
      <w:r>
        <w:rPr>
          <w:rFonts w:hint="eastAsia" w:ascii="仿宋" w:hAnsi="仿宋" w:eastAsia="仿宋" w:cs="仿宋"/>
          <w:sz w:val="32"/>
          <w:szCs w:val="32"/>
        </w:rPr>
        <w:t>财政预决算信息、</w:t>
      </w:r>
      <w:r>
        <w:rPr>
          <w:rFonts w:hint="eastAsia" w:ascii="仿宋" w:hAnsi="仿宋" w:eastAsia="仿宋" w:cs="仿宋"/>
          <w:sz w:val="32"/>
          <w:szCs w:val="32"/>
          <w:lang w:eastAsia="zh-CN"/>
        </w:rPr>
        <w:t>重大建设项目信息、公共文化体育服务政策和体系建设、设施名录和场馆使用清单及公益性体育赛事活动安排等情况的公开力度。</w:t>
      </w:r>
      <w:r>
        <w:rPr>
          <w:rFonts w:hint="eastAsia" w:ascii="仿宋" w:hAnsi="仿宋" w:eastAsia="仿宋" w:cs="仿宋"/>
          <w:sz w:val="32"/>
          <w:szCs w:val="32"/>
        </w:rPr>
        <w:t>相关信息及时公布，方便群众查询，接受社会监督。</w:t>
      </w:r>
    </w:p>
    <w:p>
      <w:pPr>
        <w:numPr>
          <w:ilvl w:val="0"/>
          <w:numId w:val="0"/>
        </w:numPr>
        <w:rPr>
          <w:rFonts w:hint="eastAsia" w:ascii="仿宋" w:hAnsi="仿宋" w:eastAsia="仿宋" w:cs="仿宋"/>
          <w:sz w:val="32"/>
          <w:szCs w:val="32"/>
          <w:lang w:eastAsia="zh-CN"/>
        </w:rPr>
      </w:pPr>
    </w:p>
    <w:p>
      <w:pPr>
        <w:numPr>
          <w:ilvl w:val="0"/>
          <w:numId w:val="0"/>
        </w:num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4584065" cy="2755265"/>
            <wp:effectExtent l="0" t="0" r="6985" b="6985"/>
            <wp:docPr id="2" name="图片 2"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3"/>
                    <pic:cNvPicPr>
                      <a:picLocks noChangeAspect="1"/>
                    </pic:cNvPicPr>
                  </pic:nvPicPr>
                  <pic:blipFill>
                    <a:blip r:embed="rId4"/>
                    <a:stretch>
                      <a:fillRect/>
                    </a:stretch>
                  </pic:blipFill>
                  <pic:spPr>
                    <a:xfrm>
                      <a:off x="0" y="0"/>
                      <a:ext cx="4584065" cy="2755265"/>
                    </a:xfrm>
                    <a:prstGeom prst="rect">
                      <a:avLst/>
                    </a:prstGeom>
                  </pic:spPr>
                </pic:pic>
              </a:graphicData>
            </a:graphic>
          </wp:inline>
        </w:drawing>
      </w:r>
    </w:p>
    <w:p>
      <w:pPr>
        <w:numPr>
          <w:ilvl w:val="0"/>
          <w:numId w:val="0"/>
        </w:numPr>
        <w:rPr>
          <w:rFonts w:hint="eastAsia" w:ascii="仿宋" w:hAnsi="仿宋" w:eastAsia="仿宋" w:cs="仿宋"/>
          <w:sz w:val="32"/>
          <w:szCs w:val="32"/>
          <w:lang w:eastAsia="zh-CN"/>
        </w:rPr>
      </w:pPr>
    </w:p>
    <w:p>
      <w:pPr>
        <w:numPr>
          <w:ilvl w:val="0"/>
          <w:numId w:val="0"/>
        </w:numPr>
        <w:ind w:firstLine="643" w:firstLineChars="200"/>
        <w:rPr>
          <w:rFonts w:hint="eastAsia" w:ascii="仿宋" w:hAnsi="仿宋" w:eastAsia="仿宋" w:cs="仿宋"/>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依申请公开情况。</w:t>
      </w:r>
      <w:r>
        <w:rPr>
          <w:rFonts w:hint="eastAsia" w:ascii="仿宋" w:hAnsi="仿宋" w:eastAsia="仿宋" w:cs="仿宋"/>
          <w:sz w:val="32"/>
          <w:szCs w:val="32"/>
        </w:rPr>
        <w:t>市体育局</w:t>
      </w:r>
      <w:r>
        <w:rPr>
          <w:rFonts w:hint="eastAsia" w:ascii="仿宋" w:hAnsi="仿宋" w:eastAsia="仿宋" w:cs="仿宋"/>
          <w:sz w:val="32"/>
          <w:szCs w:val="32"/>
          <w:lang w:eastAsia="zh-CN"/>
        </w:rPr>
        <w:t>严格按照《条例》规定程序，专人负责依申请公开信息登记、办理、答复工作，做到答复及时、内容准确、程序规范、严格保密。</w:t>
      </w:r>
      <w:r>
        <w:rPr>
          <w:rFonts w:hint="eastAsia" w:ascii="仿宋" w:hAnsi="仿宋" w:eastAsia="仿宋" w:cs="仿宋"/>
          <w:sz w:val="32"/>
          <w:szCs w:val="32"/>
          <w:lang w:val="en-US" w:eastAsia="zh-CN"/>
        </w:rPr>
        <w:t>2022年共收到</w:t>
      </w:r>
      <w:r>
        <w:rPr>
          <w:rFonts w:hint="eastAsia" w:ascii="仿宋" w:hAnsi="仿宋" w:eastAsia="仿宋" w:cs="仿宋"/>
          <w:sz w:val="32"/>
          <w:szCs w:val="32"/>
        </w:rPr>
        <w:t>群众政府信息公开申请</w:t>
      </w:r>
      <w:r>
        <w:rPr>
          <w:rFonts w:hint="eastAsia" w:ascii="仿宋" w:hAnsi="仿宋" w:eastAsia="仿宋" w:cs="仿宋"/>
          <w:sz w:val="32"/>
          <w:szCs w:val="32"/>
          <w:lang w:val="en-US" w:eastAsia="zh-CN"/>
        </w:rPr>
        <w:t>4</w:t>
      </w:r>
      <w:r>
        <w:rPr>
          <w:rFonts w:hint="eastAsia" w:ascii="仿宋" w:hAnsi="仿宋" w:eastAsia="仿宋" w:cs="仿宋"/>
          <w:sz w:val="32"/>
          <w:szCs w:val="32"/>
        </w:rPr>
        <w:t>件，没有因政府信息公开工作被申请行政复议、提起行政诉讼情况</w:t>
      </w:r>
      <w:r>
        <w:rPr>
          <w:rFonts w:hint="eastAsia" w:ascii="仿宋" w:hAnsi="仿宋" w:eastAsia="仿宋" w:cs="仿宋"/>
          <w:sz w:val="32"/>
          <w:szCs w:val="32"/>
          <w:lang w:eastAsia="zh-CN"/>
        </w:rPr>
        <w:t>，</w:t>
      </w:r>
      <w:r>
        <w:rPr>
          <w:rFonts w:hint="eastAsia" w:ascii="仿宋" w:hAnsi="仿宋" w:eastAsia="仿宋" w:cs="仿宋"/>
          <w:sz w:val="32"/>
          <w:szCs w:val="32"/>
        </w:rPr>
        <w:t>此过程中无收费情况。与</w:t>
      </w:r>
      <w:r>
        <w:rPr>
          <w:rFonts w:hint="eastAsia" w:ascii="仿宋" w:hAnsi="仿宋" w:eastAsia="仿宋" w:cs="仿宋"/>
          <w:sz w:val="32"/>
          <w:szCs w:val="32"/>
          <w:lang w:val="en-US" w:eastAsia="zh-CN"/>
        </w:rPr>
        <w:t>2021</w:t>
      </w:r>
      <w:r>
        <w:rPr>
          <w:rFonts w:hint="eastAsia" w:ascii="仿宋" w:hAnsi="仿宋" w:eastAsia="仿宋" w:cs="仿宋"/>
          <w:sz w:val="32"/>
          <w:szCs w:val="32"/>
        </w:rPr>
        <w:t>年相比，受理数量下降</w:t>
      </w:r>
      <w:r>
        <w:rPr>
          <w:rFonts w:hint="eastAsia" w:ascii="仿宋" w:hAnsi="仿宋" w:eastAsia="仿宋" w:cs="仿宋"/>
          <w:sz w:val="32"/>
          <w:szCs w:val="32"/>
          <w:lang w:val="en-US" w:eastAsia="zh-CN"/>
        </w:rPr>
        <w:t>7</w:t>
      </w:r>
      <w:r>
        <w:rPr>
          <w:rFonts w:hint="eastAsia" w:ascii="仿宋" w:hAnsi="仿宋" w:eastAsia="仿宋" w:cs="仿宋"/>
          <w:sz w:val="32"/>
          <w:szCs w:val="32"/>
        </w:rPr>
        <w:t>件。</w:t>
      </w:r>
    </w:p>
    <w:p>
      <w:pPr>
        <w:numPr>
          <w:ilvl w:val="0"/>
          <w:numId w:val="0"/>
        </w:numPr>
        <w:rPr>
          <w:rFonts w:hint="eastAsia" w:ascii="仿宋" w:hAnsi="仿宋" w:eastAsia="仿宋" w:cs="仿宋"/>
          <w:sz w:val="32"/>
          <w:szCs w:val="32"/>
        </w:rPr>
      </w:pPr>
    </w:p>
    <w:p>
      <w:pPr>
        <w:numPr>
          <w:ilvl w:val="0"/>
          <w:numId w:val="0"/>
        </w:numPr>
        <w:ind w:leftChars="200"/>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4581525" cy="2752725"/>
            <wp:effectExtent l="0" t="0" r="9525" b="9525"/>
            <wp:docPr id="4" name="图片 4" descr="依申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依申请"/>
                    <pic:cNvPicPr>
                      <a:picLocks noChangeAspect="1"/>
                    </pic:cNvPicPr>
                  </pic:nvPicPr>
                  <pic:blipFill>
                    <a:blip r:embed="rId5"/>
                    <a:stretch>
                      <a:fillRect/>
                    </a:stretch>
                  </pic:blipFill>
                  <pic:spPr>
                    <a:xfrm>
                      <a:off x="0" y="0"/>
                      <a:ext cx="4581525" cy="2752725"/>
                    </a:xfrm>
                    <a:prstGeom prst="rect">
                      <a:avLst/>
                    </a:prstGeom>
                  </pic:spPr>
                </pic:pic>
              </a:graphicData>
            </a:graphic>
          </wp:inline>
        </w:drawing>
      </w:r>
    </w:p>
    <w:p>
      <w:pPr>
        <w:numPr>
          <w:ilvl w:val="0"/>
          <w:numId w:val="0"/>
        </w:numPr>
        <w:ind w:leftChars="200"/>
        <w:rPr>
          <w:rFonts w:hint="eastAsia" w:ascii="仿宋" w:hAnsi="仿宋" w:eastAsia="仿宋" w:cs="仿宋"/>
          <w:sz w:val="32"/>
          <w:szCs w:val="32"/>
          <w:lang w:eastAsia="zh-CN"/>
        </w:rPr>
      </w:pPr>
    </w:p>
    <w:p>
      <w:pPr>
        <w:numPr>
          <w:ilvl w:val="0"/>
          <w:numId w:val="0"/>
        </w:numPr>
        <w:ind w:firstLine="643" w:firstLineChars="200"/>
        <w:rPr>
          <w:rFonts w:hint="eastAsia" w:ascii="仿宋" w:hAnsi="仿宋" w:eastAsia="仿宋" w:cs="仿宋"/>
          <w:sz w:val="32"/>
          <w:szCs w:val="32"/>
          <w:lang w:eastAsia="zh-CN"/>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政府信息管理情况。</w:t>
      </w:r>
      <w:r>
        <w:rPr>
          <w:rFonts w:hint="eastAsia" w:ascii="仿宋" w:hAnsi="仿宋" w:eastAsia="仿宋" w:cs="仿宋"/>
          <w:sz w:val="32"/>
          <w:szCs w:val="32"/>
          <w:lang w:eastAsia="zh-CN"/>
        </w:rPr>
        <w:t>结合本局实际，</w:t>
      </w:r>
      <w:r>
        <w:rPr>
          <w:rFonts w:hint="eastAsia" w:ascii="仿宋" w:hAnsi="仿宋" w:eastAsia="仿宋" w:cs="仿宋"/>
          <w:i w:val="0"/>
          <w:caps w:val="0"/>
          <w:color w:val="000000"/>
          <w:spacing w:val="0"/>
          <w:sz w:val="32"/>
          <w:szCs w:val="32"/>
          <w:shd w:val="clear" w:color="auto" w:fill="FFFFFF"/>
        </w:rPr>
        <w:t>按照“谁发布、谁负责”的原则实行归口管理</w:t>
      </w:r>
      <w:r>
        <w:rPr>
          <w:rFonts w:hint="eastAsia" w:ascii="仿宋" w:hAnsi="仿宋" w:eastAsia="仿宋" w:cs="仿宋"/>
          <w:i w:val="0"/>
          <w:caps w:val="0"/>
          <w:color w:val="000000"/>
          <w:spacing w:val="0"/>
          <w:sz w:val="32"/>
          <w:szCs w:val="32"/>
          <w:shd w:val="clear" w:color="auto" w:fill="FFFFFF"/>
          <w:lang w:eastAsia="zh-CN"/>
        </w:rPr>
        <w:t>。</w:t>
      </w:r>
      <w:r>
        <w:rPr>
          <w:rFonts w:hint="eastAsia" w:ascii="仿宋" w:hAnsi="仿宋" w:eastAsia="仿宋" w:cs="仿宋"/>
          <w:sz w:val="32"/>
          <w:szCs w:val="32"/>
          <w:lang w:val="en-US" w:eastAsia="zh-CN"/>
        </w:rPr>
        <w:t>规范发布流程，形成逐级审批制，确保信息公布的及时、安全；</w:t>
      </w:r>
      <w:r>
        <w:rPr>
          <w:rFonts w:hint="eastAsia" w:ascii="仿宋" w:hAnsi="仿宋" w:eastAsia="仿宋" w:cs="仿宋"/>
          <w:i w:val="0"/>
          <w:caps w:val="0"/>
          <w:color w:val="000000"/>
          <w:spacing w:val="0"/>
          <w:sz w:val="32"/>
          <w:szCs w:val="32"/>
          <w:shd w:val="clear" w:color="auto" w:fill="FFFFFF"/>
          <w:lang w:eastAsia="zh-CN"/>
        </w:rPr>
        <w:t>制定保密审查制度，明确谁发布，谁</w:t>
      </w:r>
      <w:r>
        <w:rPr>
          <w:rFonts w:hint="eastAsia" w:ascii="仿宋" w:hAnsi="仿宋" w:eastAsia="仿宋" w:cs="仿宋"/>
          <w:i w:val="0"/>
          <w:caps w:val="0"/>
          <w:color w:val="000000"/>
          <w:spacing w:val="0"/>
          <w:sz w:val="32"/>
          <w:szCs w:val="32"/>
          <w:shd w:val="clear" w:color="auto" w:fill="FFFFFF"/>
        </w:rPr>
        <w:t>承担发布内容保密安全主体责任</w:t>
      </w:r>
      <w:r>
        <w:rPr>
          <w:rFonts w:hint="eastAsia" w:ascii="仿宋" w:hAnsi="仿宋" w:eastAsia="仿宋" w:cs="仿宋"/>
          <w:i w:val="0"/>
          <w:caps w:val="0"/>
          <w:color w:val="000000"/>
          <w:spacing w:val="0"/>
          <w:sz w:val="32"/>
          <w:szCs w:val="32"/>
          <w:shd w:val="clear" w:color="auto" w:fill="FFFFFF"/>
          <w:lang w:eastAsia="zh-CN"/>
        </w:rPr>
        <w:t>；</w:t>
      </w:r>
      <w:r>
        <w:rPr>
          <w:rFonts w:hint="eastAsia" w:ascii="仿宋" w:hAnsi="仿宋" w:eastAsia="仿宋" w:cs="仿宋"/>
          <w:sz w:val="32"/>
          <w:szCs w:val="32"/>
          <w:lang w:eastAsia="zh-CN"/>
        </w:rPr>
        <w:t>制定了市体育局政务公开工作方案，重新调整了</w:t>
      </w:r>
      <w:r>
        <w:rPr>
          <w:rFonts w:hint="eastAsia" w:ascii="仿宋" w:hAnsi="仿宋" w:eastAsia="仿宋" w:cs="仿宋"/>
          <w:sz w:val="32"/>
          <w:szCs w:val="32"/>
        </w:rPr>
        <w:t>政府信息公开指南和主动公开基本目录</w:t>
      </w:r>
      <w:r>
        <w:rPr>
          <w:rFonts w:hint="eastAsia" w:ascii="仿宋" w:hAnsi="仿宋" w:eastAsia="仿宋" w:cs="仿宋"/>
          <w:sz w:val="32"/>
          <w:szCs w:val="32"/>
          <w:lang w:eastAsia="zh-CN"/>
        </w:rPr>
        <w:t>，面向科室单位明确任务分工，对发布内容、完成时限和公开方式提出详细要求；规范执行规范性文件办理流程，严格落实发布审核、意见征集、政策解读等环节；</w:t>
      </w:r>
      <w:r>
        <w:rPr>
          <w:rFonts w:hint="eastAsia" w:ascii="仿宋" w:hAnsi="仿宋" w:eastAsia="仿宋" w:cs="仿宋"/>
          <w:sz w:val="32"/>
          <w:szCs w:val="32"/>
          <w:lang w:val="en-US" w:eastAsia="zh-CN"/>
        </w:rPr>
        <w:t>2022年信息管理</w:t>
      </w:r>
      <w:r>
        <w:rPr>
          <w:rFonts w:hint="eastAsia" w:ascii="仿宋" w:hAnsi="仿宋" w:eastAsia="仿宋" w:cs="仿宋"/>
          <w:sz w:val="32"/>
          <w:szCs w:val="32"/>
          <w:lang w:eastAsia="zh-CN"/>
        </w:rPr>
        <w:t>做到制度完善、流程规范，信息发布及时、准确、安全。</w:t>
      </w:r>
    </w:p>
    <w:p>
      <w:pPr>
        <w:ind w:firstLine="643" w:firstLineChars="200"/>
        <w:rPr>
          <w:rFonts w:hint="eastAsia" w:ascii="仿宋" w:hAnsi="仿宋" w:eastAsia="仿宋" w:cs="仿宋"/>
          <w:sz w:val="32"/>
          <w:szCs w:val="32"/>
          <w:lang w:eastAsia="zh-CN"/>
        </w:rPr>
      </w:pPr>
      <w:r>
        <w:rPr>
          <w:rFonts w:hint="eastAsia" w:ascii="楷体" w:hAnsi="楷体" w:eastAsia="楷体" w:cs="楷体"/>
          <w:b/>
          <w:bCs/>
          <w:sz w:val="32"/>
          <w:szCs w:val="32"/>
          <w:lang w:eastAsia="zh-CN"/>
        </w:rPr>
        <w:t>（四）</w:t>
      </w:r>
      <w:r>
        <w:rPr>
          <w:rFonts w:hint="eastAsia" w:ascii="楷体" w:hAnsi="楷体" w:eastAsia="楷体" w:cs="楷体"/>
          <w:b/>
          <w:bCs/>
          <w:sz w:val="32"/>
          <w:szCs w:val="32"/>
        </w:rPr>
        <w:t>政务信息平台建设情况。</w:t>
      </w:r>
      <w:r>
        <w:rPr>
          <w:rFonts w:hint="eastAsia" w:ascii="仿宋" w:hAnsi="仿宋" w:eastAsia="仿宋" w:cs="仿宋"/>
          <w:sz w:val="32"/>
          <w:szCs w:val="32"/>
          <w:lang w:eastAsia="zh-CN"/>
        </w:rPr>
        <w:t>强化信息公开平台建设，</w:t>
      </w:r>
      <w:r>
        <w:rPr>
          <w:rFonts w:hint="eastAsia" w:ascii="仿宋" w:hAnsi="仿宋" w:eastAsia="仿宋" w:cs="仿宋"/>
          <w:sz w:val="32"/>
          <w:szCs w:val="32"/>
        </w:rPr>
        <w:t>充分发挥传统媒体作用，</w:t>
      </w:r>
      <w:r>
        <w:rPr>
          <w:rFonts w:hint="eastAsia" w:ascii="仿宋" w:hAnsi="仿宋" w:eastAsia="仿宋" w:cs="仿宋"/>
          <w:sz w:val="32"/>
          <w:szCs w:val="32"/>
          <w:lang w:eastAsia="zh-CN"/>
        </w:rPr>
        <w:t>开设了淄博市体育局政府网站和政府信息公开专栏，由专人负责本局官方网站管理，开设政务公开、政务服务、政策法规、浏览查询、局长信箱互动交流等栏目，确保信息及时更新发布。积极</w:t>
      </w:r>
      <w:r>
        <w:rPr>
          <w:rFonts w:hint="eastAsia" w:ascii="仿宋" w:hAnsi="仿宋" w:eastAsia="仿宋" w:cs="仿宋"/>
          <w:sz w:val="32"/>
          <w:szCs w:val="32"/>
        </w:rPr>
        <w:t>运维政务微博和微信公众号，</w:t>
      </w:r>
      <w:r>
        <w:rPr>
          <w:rFonts w:hint="eastAsia" w:ascii="仿宋" w:hAnsi="仿宋" w:eastAsia="仿宋" w:cs="仿宋"/>
          <w:sz w:val="32"/>
          <w:szCs w:val="32"/>
          <w:lang w:eastAsia="zh-CN"/>
        </w:rPr>
        <w:t>充分利用政府新闻网，对于重点领域信息及时召开新闻发布会，</w:t>
      </w:r>
      <w:r>
        <w:rPr>
          <w:rFonts w:hint="eastAsia" w:ascii="仿宋" w:hAnsi="仿宋" w:eastAsia="仿宋" w:cs="仿宋"/>
          <w:sz w:val="32"/>
          <w:szCs w:val="32"/>
        </w:rPr>
        <w:t>不断拓宽信息公开渠道。对涉及本单位本系统的重要政务舆情、媒体关切等热点问题，认真研判处置，及时主动公开相关信息，正确解读政策，释放积极信号，保持正确的舆论导向。在局机关207室设有政府信息公开查阅点，公民、法人或者其他组织可以到该查阅点查阅本机关主动公开的政府信息</w:t>
      </w:r>
      <w:r>
        <w:rPr>
          <w:rFonts w:hint="eastAsia" w:ascii="仿宋" w:hAnsi="仿宋" w:eastAsia="仿宋" w:cs="仿宋"/>
          <w:sz w:val="32"/>
          <w:szCs w:val="32"/>
          <w:lang w:eastAsia="zh-CN"/>
        </w:rPr>
        <w:t>。</w:t>
      </w:r>
      <w:r>
        <w:rPr>
          <w:rFonts w:hint="eastAsia" w:ascii="仿宋" w:hAnsi="仿宋" w:eastAsia="仿宋" w:cs="仿宋"/>
          <w:sz w:val="32"/>
          <w:szCs w:val="32"/>
        </w:rPr>
        <w:t>全年在政府网站公开</w:t>
      </w:r>
      <w:r>
        <w:rPr>
          <w:rFonts w:hint="eastAsia" w:ascii="仿宋" w:hAnsi="仿宋" w:eastAsia="仿宋" w:cs="仿宋"/>
          <w:sz w:val="32"/>
          <w:szCs w:val="32"/>
          <w:lang w:val="en-US" w:eastAsia="zh-CN"/>
        </w:rPr>
        <w:t>588</w:t>
      </w:r>
      <w:r>
        <w:rPr>
          <w:rFonts w:hint="eastAsia" w:ascii="仿宋" w:hAnsi="仿宋" w:eastAsia="仿宋" w:cs="仿宋"/>
          <w:sz w:val="32"/>
          <w:szCs w:val="32"/>
        </w:rPr>
        <w:t>条，政务微博公开</w:t>
      </w:r>
      <w:r>
        <w:rPr>
          <w:rFonts w:hint="eastAsia" w:ascii="仿宋" w:hAnsi="仿宋" w:eastAsia="仿宋" w:cs="仿宋"/>
          <w:sz w:val="32"/>
          <w:szCs w:val="32"/>
          <w:lang w:val="en-US" w:eastAsia="zh-CN"/>
        </w:rPr>
        <w:t>160</w:t>
      </w:r>
      <w:r>
        <w:rPr>
          <w:rFonts w:hint="eastAsia" w:ascii="仿宋" w:hAnsi="仿宋" w:eastAsia="仿宋" w:cs="仿宋"/>
          <w:sz w:val="32"/>
          <w:szCs w:val="32"/>
        </w:rPr>
        <w:t>条,政务微信公开</w:t>
      </w:r>
      <w:r>
        <w:rPr>
          <w:rFonts w:hint="eastAsia" w:ascii="仿宋" w:hAnsi="仿宋" w:eastAsia="仿宋" w:cs="仿宋"/>
          <w:sz w:val="32"/>
          <w:szCs w:val="32"/>
          <w:lang w:val="en-US" w:eastAsia="zh-CN"/>
        </w:rPr>
        <w:t>385</w:t>
      </w:r>
      <w:r>
        <w:rPr>
          <w:rFonts w:hint="eastAsia" w:ascii="仿宋" w:hAnsi="仿宋" w:eastAsia="仿宋" w:cs="仿宋"/>
          <w:sz w:val="32"/>
          <w:szCs w:val="32"/>
        </w:rPr>
        <w:t>条，</w:t>
      </w:r>
      <w:r>
        <w:rPr>
          <w:rFonts w:hint="eastAsia" w:ascii="仿宋" w:hAnsi="仿宋" w:eastAsia="仿宋" w:cs="仿宋"/>
          <w:sz w:val="32"/>
          <w:szCs w:val="32"/>
          <w:lang w:eastAsia="zh-CN"/>
        </w:rPr>
        <w:t>召开</w:t>
      </w:r>
      <w:r>
        <w:rPr>
          <w:rFonts w:hint="eastAsia" w:ascii="仿宋" w:hAnsi="仿宋" w:eastAsia="仿宋" w:cs="仿宋"/>
          <w:sz w:val="32"/>
          <w:szCs w:val="32"/>
        </w:rPr>
        <w:t>新闻</w:t>
      </w:r>
      <w:r>
        <w:rPr>
          <w:rFonts w:hint="eastAsia" w:ascii="仿宋" w:hAnsi="仿宋" w:eastAsia="仿宋" w:cs="仿宋"/>
          <w:sz w:val="32"/>
          <w:szCs w:val="32"/>
          <w:lang w:eastAsia="zh-CN"/>
        </w:rPr>
        <w:t>发布会</w:t>
      </w:r>
      <w:r>
        <w:rPr>
          <w:rFonts w:hint="eastAsia" w:ascii="仿宋" w:hAnsi="仿宋" w:eastAsia="仿宋" w:cs="仿宋"/>
          <w:sz w:val="32"/>
          <w:szCs w:val="32"/>
          <w:lang w:val="en-US" w:eastAsia="zh-CN"/>
        </w:rPr>
        <w:t>4场</w:t>
      </w:r>
      <w:r>
        <w:rPr>
          <w:rFonts w:hint="eastAsia" w:ascii="仿宋" w:hAnsi="仿宋" w:eastAsia="仿宋" w:cs="仿宋"/>
          <w:sz w:val="32"/>
          <w:szCs w:val="32"/>
        </w:rPr>
        <w:t>。</w:t>
      </w:r>
    </w:p>
    <w:p>
      <w:pPr>
        <w:numPr>
          <w:ilvl w:val="0"/>
          <w:numId w:val="0"/>
        </w:numPr>
        <w:ind w:firstLine="643" w:firstLineChars="200"/>
        <w:rPr>
          <w:rFonts w:hint="eastAsia" w:ascii="黑体" w:hAnsi="黑体" w:eastAsia="黑体" w:cs="黑体"/>
          <w:sz w:val="32"/>
          <w:szCs w:val="32"/>
        </w:rPr>
      </w:pPr>
      <w:r>
        <w:rPr>
          <w:rFonts w:hint="eastAsia" w:ascii="楷体" w:hAnsi="楷体" w:eastAsia="楷体" w:cs="楷体"/>
          <w:b/>
          <w:bCs/>
          <w:sz w:val="32"/>
          <w:szCs w:val="32"/>
          <w:lang w:eastAsia="zh-CN"/>
        </w:rPr>
        <w:t>（五）</w:t>
      </w:r>
      <w:r>
        <w:rPr>
          <w:rFonts w:hint="eastAsia" w:ascii="楷体" w:hAnsi="楷体" w:eastAsia="楷体" w:cs="楷体"/>
          <w:b/>
          <w:bCs/>
          <w:sz w:val="32"/>
          <w:szCs w:val="32"/>
        </w:rPr>
        <w:t>监督保障情况。</w:t>
      </w:r>
      <w:r>
        <w:rPr>
          <w:rFonts w:hint="eastAsia" w:ascii="仿宋" w:hAnsi="仿宋" w:eastAsia="仿宋" w:cs="仿宋"/>
          <w:sz w:val="32"/>
          <w:szCs w:val="32"/>
          <w:lang w:val="en-US" w:eastAsia="zh-CN"/>
        </w:rPr>
        <w:t>市体育局注重加强组织领导，重新调整了政务公开工作领导小组成员，进一步明确分工职责，</w:t>
      </w:r>
      <w:r>
        <w:rPr>
          <w:rFonts w:hint="eastAsia" w:ascii="仿宋" w:hAnsi="仿宋" w:eastAsia="仿宋" w:cs="仿宋"/>
          <w:sz w:val="32"/>
          <w:szCs w:val="32"/>
        </w:rPr>
        <w:t>领导小组组长由主要负责人担任，</w:t>
      </w:r>
      <w:r>
        <w:rPr>
          <w:rFonts w:hint="eastAsia" w:ascii="仿宋" w:hAnsi="仿宋" w:eastAsia="仿宋" w:cs="仿宋"/>
          <w:sz w:val="32"/>
          <w:szCs w:val="32"/>
          <w:lang w:eastAsia="zh-CN"/>
        </w:rPr>
        <w:t>局办公室负责组织协调，科室和单位具体执行，召开党组专题会</w:t>
      </w:r>
      <w:r>
        <w:rPr>
          <w:rFonts w:hint="eastAsia" w:ascii="仿宋" w:hAnsi="仿宋" w:eastAsia="仿宋" w:cs="仿宋"/>
          <w:sz w:val="32"/>
          <w:szCs w:val="32"/>
          <w:lang w:val="en-US" w:eastAsia="zh-CN"/>
        </w:rPr>
        <w:t>1次</w:t>
      </w:r>
      <w:r>
        <w:rPr>
          <w:rFonts w:hint="eastAsia" w:ascii="仿宋" w:hAnsi="仿宋" w:eastAsia="仿宋" w:cs="仿宋"/>
          <w:sz w:val="32"/>
          <w:szCs w:val="32"/>
          <w:lang w:eastAsia="zh-CN"/>
        </w:rPr>
        <w:t>；制定全年培训计划，组织业务培训会</w:t>
      </w:r>
      <w:r>
        <w:rPr>
          <w:rFonts w:hint="eastAsia" w:ascii="仿宋" w:hAnsi="仿宋" w:eastAsia="仿宋" w:cs="仿宋"/>
          <w:sz w:val="32"/>
          <w:szCs w:val="32"/>
          <w:lang w:val="en-US" w:eastAsia="zh-CN"/>
        </w:rPr>
        <w:t>1次</w:t>
      </w:r>
      <w:r>
        <w:rPr>
          <w:rFonts w:hint="eastAsia" w:ascii="仿宋" w:hAnsi="仿宋" w:eastAsia="仿宋" w:cs="仿宋"/>
          <w:sz w:val="32"/>
          <w:szCs w:val="32"/>
          <w:lang w:eastAsia="zh-CN"/>
        </w:rPr>
        <w:t>，不断提升了工作人员的业务水平；充分发挥政务公开领导小组的指导监督作用，实行每月督导制，将平时工作和年底考核挂钩，召开工作督导推进会</w:t>
      </w:r>
      <w:r>
        <w:rPr>
          <w:rFonts w:hint="eastAsia" w:ascii="仿宋" w:hAnsi="仿宋" w:eastAsia="仿宋" w:cs="仿宋"/>
          <w:sz w:val="32"/>
          <w:szCs w:val="32"/>
          <w:lang w:val="en-US" w:eastAsia="zh-CN"/>
        </w:rPr>
        <w:t>1次，</w:t>
      </w:r>
      <w:r>
        <w:rPr>
          <w:rFonts w:hint="eastAsia" w:ascii="仿宋" w:hAnsi="仿宋" w:eastAsia="仿宋" w:cs="仿宋"/>
          <w:sz w:val="32"/>
          <w:szCs w:val="32"/>
          <w:lang w:eastAsia="zh-CN"/>
        </w:rPr>
        <w:t>强化工作落实的时效性。</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二、行政机关主动公开政府信息情况</w:t>
      </w:r>
    </w:p>
    <w:tbl>
      <w:tblPr>
        <w:tblStyle w:val="4"/>
        <w:tblW w:w="9098" w:type="dxa"/>
        <w:jc w:val="center"/>
        <w:tblInd w:w="0" w:type="dxa"/>
        <w:shd w:val="clear" w:color="auto" w:fill="auto"/>
        <w:tblLayout w:type="fixed"/>
        <w:tblCellMar>
          <w:top w:w="0" w:type="dxa"/>
          <w:left w:w="0" w:type="dxa"/>
          <w:bottom w:w="0" w:type="dxa"/>
          <w:right w:w="0" w:type="dxa"/>
        </w:tblCellMar>
      </w:tblPr>
      <w:tblGrid>
        <w:gridCol w:w="1950"/>
        <w:gridCol w:w="1935"/>
        <w:gridCol w:w="2715"/>
        <w:gridCol w:w="2498"/>
      </w:tblGrid>
      <w:tr>
        <w:tblPrEx>
          <w:shd w:val="clear" w:color="auto" w:fill="auto"/>
          <w:tblLayout w:type="fixed"/>
          <w:tblCellMar>
            <w:top w:w="0" w:type="dxa"/>
            <w:left w:w="0" w:type="dxa"/>
            <w:bottom w:w="0" w:type="dxa"/>
            <w:right w:w="0" w:type="dxa"/>
          </w:tblCellMar>
        </w:tblPrEx>
        <w:trPr>
          <w:trHeight w:val="555" w:hRule="atLeast"/>
          <w:jc w:val="center"/>
        </w:trPr>
        <w:tc>
          <w:tcPr>
            <w:tcW w:w="9098" w:type="dxa"/>
            <w:gridSpan w:val="4"/>
            <w:tcBorders>
              <w:top w:val="single" w:color="auto" w:sz="8" w:space="0"/>
              <w:left w:val="single" w:color="auto" w:sz="8" w:space="0"/>
              <w:bottom w:val="single" w:color="auto" w:sz="8" w:space="0"/>
              <w:right w:val="single" w:color="auto" w:sz="8" w:space="0"/>
            </w:tcBorders>
            <w:shd w:val="clear" w:color="auto" w:fill="C6D9F1"/>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caps w:val="0"/>
                <w:color w:val="3D3D3D"/>
                <w:spacing w:val="0"/>
                <w:sz w:val="22"/>
                <w:szCs w:val="22"/>
              </w:rPr>
              <w:t>第二十条第（一）项</w:t>
            </w:r>
          </w:p>
        </w:tc>
      </w:tr>
      <w:tr>
        <w:tblPrEx>
          <w:tblLayout w:type="fixed"/>
          <w:tblCellMar>
            <w:top w:w="0" w:type="dxa"/>
            <w:left w:w="0" w:type="dxa"/>
            <w:bottom w:w="0" w:type="dxa"/>
            <w:right w:w="0" w:type="dxa"/>
          </w:tblCellMar>
        </w:tblPrEx>
        <w:trPr>
          <w:trHeight w:val="945" w:hRule="atLeast"/>
          <w:jc w:val="center"/>
        </w:trPr>
        <w:tc>
          <w:tcPr>
            <w:tcW w:w="195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信息内容</w:t>
            </w:r>
          </w:p>
        </w:tc>
        <w:tc>
          <w:tcPr>
            <w:tcW w:w="1935"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本年发件数</w:t>
            </w:r>
          </w:p>
        </w:tc>
        <w:tc>
          <w:tcPr>
            <w:tcW w:w="2715"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本年废止件数</w:t>
            </w:r>
          </w:p>
        </w:tc>
        <w:tc>
          <w:tcPr>
            <w:tcW w:w="2498"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现行有效件数</w:t>
            </w:r>
          </w:p>
        </w:tc>
      </w:tr>
      <w:tr>
        <w:tblPrEx>
          <w:tblLayout w:type="fixed"/>
          <w:tblCellMar>
            <w:top w:w="0" w:type="dxa"/>
            <w:left w:w="0" w:type="dxa"/>
            <w:bottom w:w="0" w:type="dxa"/>
            <w:right w:w="0" w:type="dxa"/>
          </w:tblCellMar>
        </w:tblPrEx>
        <w:trPr>
          <w:trHeight w:val="585" w:hRule="atLeast"/>
          <w:jc w:val="center"/>
        </w:trPr>
        <w:tc>
          <w:tcPr>
            <w:tcW w:w="195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规章</w:t>
            </w:r>
          </w:p>
        </w:tc>
        <w:tc>
          <w:tcPr>
            <w:tcW w:w="193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24"/>
                <w:szCs w:val="24"/>
              </w:rPr>
              <w:t>0</w:t>
            </w:r>
          </w:p>
        </w:tc>
        <w:tc>
          <w:tcPr>
            <w:tcW w:w="271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24"/>
                <w:szCs w:val="24"/>
              </w:rPr>
              <w:t>0</w:t>
            </w:r>
          </w:p>
        </w:tc>
        <w:tc>
          <w:tcPr>
            <w:tcW w:w="249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24"/>
                <w:szCs w:val="24"/>
              </w:rPr>
              <w:t>0</w:t>
            </w:r>
          </w:p>
        </w:tc>
      </w:tr>
      <w:tr>
        <w:tblPrEx>
          <w:tblLayout w:type="fixed"/>
          <w:tblCellMar>
            <w:top w:w="0" w:type="dxa"/>
            <w:left w:w="0" w:type="dxa"/>
            <w:bottom w:w="0" w:type="dxa"/>
            <w:right w:w="0" w:type="dxa"/>
          </w:tblCellMar>
        </w:tblPrEx>
        <w:trPr>
          <w:trHeight w:val="555" w:hRule="atLeast"/>
          <w:jc w:val="center"/>
        </w:trPr>
        <w:tc>
          <w:tcPr>
            <w:tcW w:w="195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行政规范性文件</w:t>
            </w:r>
          </w:p>
        </w:tc>
        <w:tc>
          <w:tcPr>
            <w:tcW w:w="193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24"/>
                <w:szCs w:val="24"/>
              </w:rPr>
              <w:t>0</w:t>
            </w:r>
          </w:p>
        </w:tc>
        <w:tc>
          <w:tcPr>
            <w:tcW w:w="271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24"/>
                <w:szCs w:val="24"/>
              </w:rPr>
              <w:t>0</w:t>
            </w:r>
          </w:p>
        </w:tc>
        <w:tc>
          <w:tcPr>
            <w:tcW w:w="249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24"/>
                <w:szCs w:val="24"/>
              </w:rPr>
              <w:t>1</w:t>
            </w:r>
          </w:p>
        </w:tc>
      </w:tr>
      <w:tr>
        <w:tblPrEx>
          <w:tblLayout w:type="fixed"/>
          <w:tblCellMar>
            <w:top w:w="0" w:type="dxa"/>
            <w:left w:w="0" w:type="dxa"/>
            <w:bottom w:w="0" w:type="dxa"/>
            <w:right w:w="0" w:type="dxa"/>
          </w:tblCellMar>
        </w:tblPrEx>
        <w:trPr>
          <w:trHeight w:val="555" w:hRule="atLeast"/>
          <w:jc w:val="center"/>
        </w:trPr>
        <w:tc>
          <w:tcPr>
            <w:tcW w:w="9098" w:type="dxa"/>
            <w:gridSpan w:val="4"/>
            <w:tcBorders>
              <w:top w:val="nil"/>
              <w:left w:val="single" w:color="auto" w:sz="8" w:space="0"/>
              <w:bottom w:val="single" w:color="auto" w:sz="8" w:space="0"/>
              <w:right w:val="single" w:color="auto" w:sz="8" w:space="0"/>
            </w:tcBorders>
            <w:shd w:val="clear" w:color="auto" w:fill="C6D9F1"/>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caps w:val="0"/>
                <w:color w:val="3D3D3D"/>
                <w:spacing w:val="0"/>
                <w:sz w:val="22"/>
                <w:szCs w:val="22"/>
              </w:rPr>
              <w:t>第二十条第（五）项</w:t>
            </w:r>
          </w:p>
        </w:tc>
      </w:tr>
      <w:tr>
        <w:tblPrEx>
          <w:tblLayout w:type="fixed"/>
          <w:tblCellMar>
            <w:top w:w="0" w:type="dxa"/>
            <w:left w:w="0" w:type="dxa"/>
            <w:bottom w:w="0" w:type="dxa"/>
            <w:right w:w="0" w:type="dxa"/>
          </w:tblCellMar>
        </w:tblPrEx>
        <w:trPr>
          <w:trHeight w:val="690" w:hRule="atLeast"/>
          <w:jc w:val="center"/>
        </w:trPr>
        <w:tc>
          <w:tcPr>
            <w:tcW w:w="195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信息内容</w:t>
            </w:r>
          </w:p>
        </w:tc>
        <w:tc>
          <w:tcPr>
            <w:tcW w:w="7148" w:type="dxa"/>
            <w:gridSpan w:val="3"/>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00"/>
              <w:jc w:val="both"/>
              <w:rPr>
                <w:sz w:val="24"/>
                <w:szCs w:val="24"/>
              </w:rPr>
            </w:pPr>
            <w:r>
              <w:rPr>
                <w:rFonts w:hint="eastAsia" w:ascii="宋体" w:hAnsi="宋体" w:eastAsia="宋体" w:cs="宋体"/>
                <w:caps w:val="0"/>
                <w:color w:val="3D3D3D"/>
                <w:spacing w:val="0"/>
                <w:sz w:val="22"/>
                <w:szCs w:val="22"/>
              </w:rPr>
              <w:t>本年处理决定数量</w:t>
            </w:r>
          </w:p>
        </w:tc>
      </w:tr>
      <w:tr>
        <w:tblPrEx>
          <w:tblLayout w:type="fixed"/>
          <w:tblCellMar>
            <w:top w:w="0" w:type="dxa"/>
            <w:left w:w="0" w:type="dxa"/>
            <w:bottom w:w="0" w:type="dxa"/>
            <w:right w:w="0" w:type="dxa"/>
          </w:tblCellMar>
        </w:tblPrEx>
        <w:trPr>
          <w:trHeight w:val="870" w:hRule="atLeast"/>
          <w:jc w:val="center"/>
        </w:trPr>
        <w:tc>
          <w:tcPr>
            <w:tcW w:w="195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行政许可</w:t>
            </w:r>
          </w:p>
        </w:tc>
        <w:tc>
          <w:tcPr>
            <w:tcW w:w="7148" w:type="dxa"/>
            <w:gridSpan w:val="3"/>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4"/>
                <w:szCs w:val="24"/>
              </w:rPr>
              <w:t>0</w:t>
            </w:r>
          </w:p>
        </w:tc>
      </w:tr>
      <w:tr>
        <w:tblPrEx>
          <w:tblLayout w:type="fixed"/>
          <w:tblCellMar>
            <w:top w:w="0" w:type="dxa"/>
            <w:left w:w="0" w:type="dxa"/>
            <w:bottom w:w="0" w:type="dxa"/>
            <w:right w:w="0" w:type="dxa"/>
          </w:tblCellMar>
        </w:tblPrEx>
        <w:trPr>
          <w:trHeight w:val="555" w:hRule="atLeast"/>
          <w:jc w:val="center"/>
        </w:trPr>
        <w:tc>
          <w:tcPr>
            <w:tcW w:w="9098" w:type="dxa"/>
            <w:gridSpan w:val="4"/>
            <w:tcBorders>
              <w:top w:val="nil"/>
              <w:left w:val="single" w:color="auto" w:sz="8" w:space="0"/>
              <w:bottom w:val="single" w:color="auto" w:sz="8" w:space="0"/>
              <w:right w:val="single" w:color="auto" w:sz="8" w:space="0"/>
            </w:tcBorders>
            <w:shd w:val="clear" w:color="auto" w:fill="C6D9F1"/>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caps w:val="0"/>
                <w:color w:val="3D3D3D"/>
                <w:spacing w:val="0"/>
                <w:sz w:val="22"/>
                <w:szCs w:val="22"/>
              </w:rPr>
              <w:t>第二十条第（六）项</w:t>
            </w:r>
          </w:p>
        </w:tc>
      </w:tr>
      <w:tr>
        <w:tblPrEx>
          <w:tblLayout w:type="fixed"/>
          <w:tblCellMar>
            <w:top w:w="0" w:type="dxa"/>
            <w:left w:w="0" w:type="dxa"/>
            <w:bottom w:w="0" w:type="dxa"/>
            <w:right w:w="0" w:type="dxa"/>
          </w:tblCellMar>
        </w:tblPrEx>
        <w:trPr>
          <w:trHeight w:val="690" w:hRule="atLeast"/>
          <w:jc w:val="center"/>
        </w:trPr>
        <w:tc>
          <w:tcPr>
            <w:tcW w:w="195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信息内容</w:t>
            </w:r>
          </w:p>
        </w:tc>
        <w:tc>
          <w:tcPr>
            <w:tcW w:w="7148" w:type="dxa"/>
            <w:gridSpan w:val="3"/>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4"/>
                <w:szCs w:val="24"/>
              </w:rPr>
              <w:t>本年处理决定数量</w:t>
            </w:r>
          </w:p>
        </w:tc>
      </w:tr>
      <w:tr>
        <w:tblPrEx>
          <w:tblLayout w:type="fixed"/>
          <w:tblCellMar>
            <w:top w:w="0" w:type="dxa"/>
            <w:left w:w="0" w:type="dxa"/>
            <w:bottom w:w="0" w:type="dxa"/>
            <w:right w:w="0" w:type="dxa"/>
          </w:tblCellMar>
        </w:tblPrEx>
        <w:trPr>
          <w:trHeight w:val="555" w:hRule="atLeast"/>
          <w:jc w:val="center"/>
        </w:trPr>
        <w:tc>
          <w:tcPr>
            <w:tcW w:w="195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行政处罚</w:t>
            </w:r>
          </w:p>
        </w:tc>
        <w:tc>
          <w:tcPr>
            <w:tcW w:w="7148" w:type="dxa"/>
            <w:gridSpan w:val="3"/>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4"/>
                <w:szCs w:val="24"/>
              </w:rPr>
              <w:t>0</w:t>
            </w:r>
          </w:p>
        </w:tc>
      </w:tr>
      <w:tr>
        <w:tblPrEx>
          <w:tblLayout w:type="fixed"/>
          <w:tblCellMar>
            <w:top w:w="0" w:type="dxa"/>
            <w:left w:w="0" w:type="dxa"/>
            <w:bottom w:w="0" w:type="dxa"/>
            <w:right w:w="0" w:type="dxa"/>
          </w:tblCellMar>
        </w:tblPrEx>
        <w:trPr>
          <w:trHeight w:val="555" w:hRule="atLeast"/>
          <w:jc w:val="center"/>
        </w:trPr>
        <w:tc>
          <w:tcPr>
            <w:tcW w:w="195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行政强制</w:t>
            </w:r>
          </w:p>
        </w:tc>
        <w:tc>
          <w:tcPr>
            <w:tcW w:w="7148" w:type="dxa"/>
            <w:gridSpan w:val="3"/>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sz w:val="24"/>
                <w:szCs w:val="24"/>
              </w:rPr>
              <w:t>0</w:t>
            </w:r>
          </w:p>
        </w:tc>
      </w:tr>
      <w:tr>
        <w:tblPrEx>
          <w:tblLayout w:type="fixed"/>
          <w:tblCellMar>
            <w:top w:w="0" w:type="dxa"/>
            <w:left w:w="0" w:type="dxa"/>
            <w:bottom w:w="0" w:type="dxa"/>
            <w:right w:w="0" w:type="dxa"/>
          </w:tblCellMar>
        </w:tblPrEx>
        <w:trPr>
          <w:trHeight w:val="555" w:hRule="atLeast"/>
          <w:jc w:val="center"/>
        </w:trPr>
        <w:tc>
          <w:tcPr>
            <w:tcW w:w="9098" w:type="dxa"/>
            <w:gridSpan w:val="4"/>
            <w:tcBorders>
              <w:top w:val="nil"/>
              <w:left w:val="single" w:color="auto" w:sz="8" w:space="0"/>
              <w:bottom w:val="single" w:color="auto" w:sz="8" w:space="0"/>
              <w:right w:val="single" w:color="auto" w:sz="8" w:space="0"/>
            </w:tcBorders>
            <w:shd w:val="clear" w:color="auto" w:fill="C6D9F1"/>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caps w:val="0"/>
                <w:color w:val="3D3D3D"/>
                <w:spacing w:val="0"/>
                <w:sz w:val="22"/>
                <w:szCs w:val="22"/>
              </w:rPr>
              <w:t>第二十条第（八）项</w:t>
            </w:r>
          </w:p>
        </w:tc>
      </w:tr>
      <w:tr>
        <w:tblPrEx>
          <w:tblLayout w:type="fixed"/>
          <w:tblCellMar>
            <w:top w:w="0" w:type="dxa"/>
            <w:left w:w="0" w:type="dxa"/>
            <w:bottom w:w="0" w:type="dxa"/>
            <w:right w:w="0" w:type="dxa"/>
          </w:tblCellMar>
        </w:tblPrEx>
        <w:trPr>
          <w:trHeight w:val="555" w:hRule="atLeast"/>
          <w:jc w:val="center"/>
        </w:trPr>
        <w:tc>
          <w:tcPr>
            <w:tcW w:w="195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信息内容</w:t>
            </w:r>
          </w:p>
        </w:tc>
        <w:tc>
          <w:tcPr>
            <w:tcW w:w="7148" w:type="dxa"/>
            <w:gridSpan w:val="3"/>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sz w:val="24"/>
                <w:szCs w:val="24"/>
              </w:rPr>
              <w:t>本年收费金额（单位：万元）</w:t>
            </w:r>
          </w:p>
        </w:tc>
      </w:tr>
      <w:tr>
        <w:tblPrEx>
          <w:tblLayout w:type="fixed"/>
          <w:tblCellMar>
            <w:top w:w="0" w:type="dxa"/>
            <w:left w:w="0" w:type="dxa"/>
            <w:bottom w:w="0" w:type="dxa"/>
            <w:right w:w="0" w:type="dxa"/>
          </w:tblCellMar>
        </w:tblPrEx>
        <w:trPr>
          <w:trHeight w:val="615" w:hRule="atLeast"/>
          <w:jc w:val="center"/>
        </w:trPr>
        <w:tc>
          <w:tcPr>
            <w:tcW w:w="195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行政事业性收费</w:t>
            </w:r>
          </w:p>
        </w:tc>
        <w:tc>
          <w:tcPr>
            <w:tcW w:w="7148" w:type="dxa"/>
            <w:gridSpan w:val="3"/>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caps w:val="0"/>
                <w:color w:val="3D3D3D"/>
                <w:spacing w:val="0"/>
                <w:sz w:val="22"/>
                <w:szCs w:val="22"/>
              </w:rPr>
              <w:t>0</w:t>
            </w:r>
          </w:p>
        </w:tc>
      </w:tr>
    </w:tbl>
    <w:p>
      <w:pPr>
        <w:rPr>
          <w:rFonts w:hint="eastAsia" w:ascii="黑体" w:hAnsi="黑体" w:eastAsia="黑体" w:cs="黑体"/>
          <w:sz w:val="32"/>
          <w:szCs w:val="32"/>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4"/>
        <w:tblW w:w="9366" w:type="dxa"/>
        <w:jc w:val="center"/>
        <w:tblInd w:w="0" w:type="dxa"/>
        <w:shd w:val="clear" w:color="auto" w:fill="auto"/>
        <w:tblLayout w:type="fixed"/>
        <w:tblCellMar>
          <w:top w:w="0" w:type="dxa"/>
          <w:left w:w="0" w:type="dxa"/>
          <w:bottom w:w="0" w:type="dxa"/>
          <w:right w:w="0" w:type="dxa"/>
        </w:tblCellMar>
      </w:tblPr>
      <w:tblGrid>
        <w:gridCol w:w="473"/>
        <w:gridCol w:w="930"/>
        <w:gridCol w:w="3120"/>
        <w:gridCol w:w="584"/>
        <w:gridCol w:w="658"/>
        <w:gridCol w:w="673"/>
        <w:gridCol w:w="837"/>
        <w:gridCol w:w="673"/>
        <w:gridCol w:w="748"/>
        <w:gridCol w:w="670"/>
      </w:tblGrid>
      <w:tr>
        <w:tblPrEx>
          <w:shd w:val="clear" w:color="auto" w:fill="auto"/>
          <w:tblLayout w:type="fixed"/>
          <w:tblCellMar>
            <w:top w:w="0" w:type="dxa"/>
            <w:left w:w="0" w:type="dxa"/>
            <w:bottom w:w="0" w:type="dxa"/>
            <w:right w:w="0" w:type="dxa"/>
          </w:tblCellMar>
        </w:tblPrEx>
        <w:trPr>
          <w:trHeight w:val="540" w:hRule="atLeast"/>
          <w:jc w:val="center"/>
        </w:trPr>
        <w:tc>
          <w:tcPr>
            <w:tcW w:w="4523"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申请人情况</w:t>
            </w:r>
          </w:p>
        </w:tc>
      </w:tr>
      <w:tr>
        <w:tblPrEx>
          <w:tblLayout w:type="fixed"/>
          <w:tblCellMar>
            <w:top w:w="0" w:type="dxa"/>
            <w:left w:w="0" w:type="dxa"/>
            <w:bottom w:w="0" w:type="dxa"/>
            <w:right w:w="0" w:type="dxa"/>
          </w:tblCellMar>
        </w:tblPrEx>
        <w:trPr>
          <w:trHeight w:val="540" w:hRule="atLeast"/>
          <w:jc w:val="center"/>
        </w:trPr>
        <w:tc>
          <w:tcPr>
            <w:tcW w:w="4523"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584"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人</w:t>
            </w:r>
          </w:p>
        </w:tc>
        <w:tc>
          <w:tcPr>
            <w:tcW w:w="3589" w:type="dxa"/>
            <w:gridSpan w:val="5"/>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法人或其他组织</w:t>
            </w:r>
          </w:p>
        </w:tc>
        <w:tc>
          <w:tcPr>
            <w:tcW w:w="670" w:type="dxa"/>
            <w:vMerge w:val="restart"/>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计</w:t>
            </w:r>
          </w:p>
        </w:tc>
      </w:tr>
      <w:tr>
        <w:tblPrEx>
          <w:tblLayout w:type="fixed"/>
          <w:tblCellMar>
            <w:top w:w="0" w:type="dxa"/>
            <w:left w:w="0" w:type="dxa"/>
            <w:bottom w:w="0" w:type="dxa"/>
            <w:right w:w="0" w:type="dxa"/>
          </w:tblCellMar>
        </w:tblPrEx>
        <w:trPr>
          <w:trHeight w:val="1170" w:hRule="atLeast"/>
          <w:jc w:val="center"/>
        </w:trPr>
        <w:tc>
          <w:tcPr>
            <w:tcW w:w="4523"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584"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商业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企业</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科研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机构</w:t>
            </w:r>
          </w:p>
        </w:tc>
        <w:tc>
          <w:tcPr>
            <w:tcW w:w="837"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社会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公益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组织</w:t>
            </w:r>
          </w:p>
        </w:tc>
        <w:tc>
          <w:tcPr>
            <w:tcW w:w="673"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机构</w:t>
            </w:r>
          </w:p>
        </w:tc>
        <w:tc>
          <w:tcPr>
            <w:tcW w:w="748"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其他</w:t>
            </w:r>
          </w:p>
        </w:tc>
        <w:tc>
          <w:tcPr>
            <w:tcW w:w="670" w:type="dxa"/>
            <w:vMerge w:val="continue"/>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r>
      <w:tr>
        <w:tblPrEx>
          <w:tblLayout w:type="fixed"/>
          <w:tblCellMar>
            <w:top w:w="0" w:type="dxa"/>
            <w:left w:w="0" w:type="dxa"/>
            <w:bottom w:w="0" w:type="dxa"/>
            <w:right w:w="0" w:type="dxa"/>
          </w:tblCellMar>
        </w:tblPrEx>
        <w:trPr>
          <w:trHeight w:val="540" w:hRule="atLeast"/>
          <w:jc w:val="center"/>
        </w:trPr>
        <w:tc>
          <w:tcPr>
            <w:tcW w:w="4523" w:type="dxa"/>
            <w:gridSpan w:val="3"/>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一、本年新增政府信息公开申请数量</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w:t>
            </w:r>
          </w:p>
        </w:tc>
      </w:tr>
      <w:tr>
        <w:tblPrEx>
          <w:tblLayout w:type="fixed"/>
          <w:tblCellMar>
            <w:top w:w="0" w:type="dxa"/>
            <w:left w:w="0" w:type="dxa"/>
            <w:bottom w:w="0" w:type="dxa"/>
            <w:right w:w="0" w:type="dxa"/>
          </w:tblCellMar>
        </w:tblPrEx>
        <w:trPr>
          <w:trHeight w:val="540" w:hRule="atLeast"/>
          <w:jc w:val="center"/>
        </w:trPr>
        <w:tc>
          <w:tcPr>
            <w:tcW w:w="4523" w:type="dxa"/>
            <w:gridSpan w:val="3"/>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二、上年结转政府信息公开申请数量</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tblLayout w:type="fixed"/>
          <w:tblCellMar>
            <w:top w:w="0" w:type="dxa"/>
            <w:left w:w="0" w:type="dxa"/>
            <w:bottom w:w="0" w:type="dxa"/>
            <w:right w:w="0" w:type="dxa"/>
          </w:tblCellMar>
        </w:tblPrEx>
        <w:trPr>
          <w:trHeight w:val="540" w:hRule="atLeast"/>
          <w:jc w:val="center"/>
        </w:trPr>
        <w:tc>
          <w:tcPr>
            <w:tcW w:w="473" w:type="dxa"/>
            <w:vMerge w:val="restart"/>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果</w:t>
            </w:r>
          </w:p>
        </w:tc>
        <w:tc>
          <w:tcPr>
            <w:tcW w:w="4050" w:type="dxa"/>
            <w:gridSpan w:val="2"/>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（一）予以公开</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w:t>
            </w:r>
          </w:p>
        </w:tc>
      </w:tr>
      <w:tr>
        <w:tblPrEx>
          <w:tblLayout w:type="fixed"/>
          <w:tblCellMar>
            <w:top w:w="0" w:type="dxa"/>
            <w:left w:w="0" w:type="dxa"/>
            <w:bottom w:w="0" w:type="dxa"/>
            <w:right w:w="0" w:type="dxa"/>
          </w:tblCellMar>
        </w:tblPrEx>
        <w:trPr>
          <w:trHeight w:val="855"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4050" w:type="dxa"/>
            <w:gridSpan w:val="2"/>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（二）部分公开（区分处理的，只计这一情形，不计其他情形）</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tblLayout w:type="fixed"/>
          <w:tblCellMar>
            <w:top w:w="0" w:type="dxa"/>
            <w:left w:w="0" w:type="dxa"/>
            <w:bottom w:w="0" w:type="dxa"/>
            <w:right w:w="0" w:type="dxa"/>
          </w:tblCellMar>
        </w:tblPrEx>
        <w:trPr>
          <w:trHeight w:val="540"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930"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（三）不予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公开</w:t>
            </w:r>
          </w:p>
        </w:tc>
        <w:tc>
          <w:tcPr>
            <w:tcW w:w="312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1.属于国家秘密</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tblLayout w:type="fixed"/>
          <w:tblCellMar>
            <w:top w:w="0" w:type="dxa"/>
            <w:left w:w="0" w:type="dxa"/>
            <w:bottom w:w="0" w:type="dxa"/>
            <w:right w:w="0" w:type="dxa"/>
          </w:tblCellMar>
        </w:tblPrEx>
        <w:trPr>
          <w:trHeight w:val="855"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93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312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2.其他法律行政法规禁止公开</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tblLayout w:type="fixed"/>
          <w:tblCellMar>
            <w:top w:w="0" w:type="dxa"/>
            <w:left w:w="0" w:type="dxa"/>
            <w:bottom w:w="0" w:type="dxa"/>
            <w:right w:w="0" w:type="dxa"/>
          </w:tblCellMar>
        </w:tblPrEx>
        <w:trPr>
          <w:trHeight w:val="855"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93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312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3.危及“三安全一稳定”</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tblLayout w:type="fixed"/>
          <w:tblCellMar>
            <w:top w:w="0" w:type="dxa"/>
            <w:left w:w="0" w:type="dxa"/>
            <w:bottom w:w="0" w:type="dxa"/>
            <w:right w:w="0" w:type="dxa"/>
          </w:tblCellMar>
        </w:tblPrEx>
        <w:trPr>
          <w:trHeight w:val="855"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93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312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4.保护第三方合法权益</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tblLayout w:type="fixed"/>
          <w:tblCellMar>
            <w:top w:w="0" w:type="dxa"/>
            <w:left w:w="0" w:type="dxa"/>
            <w:bottom w:w="0" w:type="dxa"/>
            <w:right w:w="0" w:type="dxa"/>
          </w:tblCellMar>
        </w:tblPrEx>
        <w:trPr>
          <w:trHeight w:val="855"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93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312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5.属于三类内部事务信息</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tblLayout w:type="fixed"/>
          <w:tblCellMar>
            <w:top w:w="0" w:type="dxa"/>
            <w:left w:w="0" w:type="dxa"/>
            <w:bottom w:w="0" w:type="dxa"/>
            <w:right w:w="0" w:type="dxa"/>
          </w:tblCellMar>
        </w:tblPrEx>
        <w:trPr>
          <w:trHeight w:val="855"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93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312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6.属于四类过程性信息</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tblLayout w:type="fixed"/>
          <w:tblCellMar>
            <w:top w:w="0" w:type="dxa"/>
            <w:left w:w="0" w:type="dxa"/>
            <w:bottom w:w="0" w:type="dxa"/>
            <w:right w:w="0" w:type="dxa"/>
          </w:tblCellMar>
        </w:tblPrEx>
        <w:trPr>
          <w:trHeight w:val="705"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93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312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7.属于行政执法案卷</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tblLayout w:type="fixed"/>
          <w:tblCellMar>
            <w:top w:w="0" w:type="dxa"/>
            <w:left w:w="0" w:type="dxa"/>
            <w:bottom w:w="0" w:type="dxa"/>
            <w:right w:w="0" w:type="dxa"/>
          </w:tblCellMar>
        </w:tblPrEx>
        <w:trPr>
          <w:trHeight w:val="690"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93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312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8.属于行政查询事项</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tblLayout w:type="fixed"/>
          <w:tblCellMar>
            <w:top w:w="0" w:type="dxa"/>
            <w:left w:w="0" w:type="dxa"/>
            <w:bottom w:w="0" w:type="dxa"/>
            <w:right w:w="0" w:type="dxa"/>
          </w:tblCellMar>
        </w:tblPrEx>
        <w:trPr>
          <w:trHeight w:val="855"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930"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（四）无法提供</w:t>
            </w:r>
          </w:p>
        </w:tc>
        <w:tc>
          <w:tcPr>
            <w:tcW w:w="312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1.本机关不掌握相关政府信息</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0</w:t>
            </w:r>
          </w:p>
        </w:tc>
      </w:tr>
      <w:tr>
        <w:tblPrEx>
          <w:tblLayout w:type="fixed"/>
          <w:tblCellMar>
            <w:top w:w="0" w:type="dxa"/>
            <w:left w:w="0" w:type="dxa"/>
            <w:bottom w:w="0" w:type="dxa"/>
            <w:right w:w="0" w:type="dxa"/>
          </w:tblCellMar>
        </w:tblPrEx>
        <w:trPr>
          <w:trHeight w:val="825"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93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312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2.没有现成信息需要另行制作</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tblLayout w:type="fixed"/>
          <w:tblCellMar>
            <w:top w:w="0" w:type="dxa"/>
            <w:left w:w="0" w:type="dxa"/>
            <w:bottom w:w="0" w:type="dxa"/>
            <w:right w:w="0" w:type="dxa"/>
          </w:tblCellMar>
        </w:tblPrEx>
        <w:trPr>
          <w:trHeight w:val="855"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93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312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3.补正后申请内容仍不明确</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tblLayout w:type="fixed"/>
          <w:tblCellMar>
            <w:top w:w="0" w:type="dxa"/>
            <w:left w:w="0" w:type="dxa"/>
            <w:bottom w:w="0" w:type="dxa"/>
            <w:right w:w="0" w:type="dxa"/>
          </w:tblCellMar>
        </w:tblPrEx>
        <w:trPr>
          <w:trHeight w:val="855"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930"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（五）不予处理</w:t>
            </w:r>
          </w:p>
        </w:tc>
        <w:tc>
          <w:tcPr>
            <w:tcW w:w="312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1.信访举报投诉类申请</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tblLayout w:type="fixed"/>
          <w:tblCellMar>
            <w:top w:w="0" w:type="dxa"/>
            <w:left w:w="0" w:type="dxa"/>
            <w:bottom w:w="0" w:type="dxa"/>
            <w:right w:w="0" w:type="dxa"/>
          </w:tblCellMar>
        </w:tblPrEx>
        <w:trPr>
          <w:trHeight w:val="540"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93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312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2.重复申请</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0</w:t>
            </w:r>
          </w:p>
        </w:tc>
      </w:tr>
      <w:tr>
        <w:tblPrEx>
          <w:tblLayout w:type="fixed"/>
          <w:tblCellMar>
            <w:top w:w="0" w:type="dxa"/>
            <w:left w:w="0" w:type="dxa"/>
            <w:bottom w:w="0" w:type="dxa"/>
            <w:right w:w="0" w:type="dxa"/>
          </w:tblCellMar>
        </w:tblPrEx>
        <w:trPr>
          <w:trHeight w:val="855"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93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312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3.要求提供公开出版物</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tblLayout w:type="fixed"/>
          <w:tblCellMar>
            <w:top w:w="0" w:type="dxa"/>
            <w:left w:w="0" w:type="dxa"/>
            <w:bottom w:w="0" w:type="dxa"/>
            <w:right w:w="0" w:type="dxa"/>
          </w:tblCellMar>
        </w:tblPrEx>
        <w:trPr>
          <w:trHeight w:val="855"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93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312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4.无正当理由大量反复申请</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tblLayout w:type="fixed"/>
          <w:tblCellMar>
            <w:top w:w="0" w:type="dxa"/>
            <w:left w:w="0" w:type="dxa"/>
            <w:bottom w:w="0" w:type="dxa"/>
            <w:right w:w="0" w:type="dxa"/>
          </w:tblCellMar>
        </w:tblPrEx>
        <w:trPr>
          <w:trHeight w:val="1170"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93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312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5.要求行政机关确认或重新出具已获取信息</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tblLayout w:type="fixed"/>
          <w:tblCellMar>
            <w:top w:w="0" w:type="dxa"/>
            <w:left w:w="0" w:type="dxa"/>
            <w:bottom w:w="0" w:type="dxa"/>
            <w:right w:w="0" w:type="dxa"/>
          </w:tblCellMar>
        </w:tblPrEx>
        <w:trPr>
          <w:trHeight w:val="540"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4050" w:type="dxa"/>
            <w:gridSpan w:val="2"/>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（六）其他处理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 </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r>
        <w:tblPrEx>
          <w:tblLayout w:type="fixed"/>
          <w:tblCellMar>
            <w:top w:w="0" w:type="dxa"/>
            <w:left w:w="0" w:type="dxa"/>
            <w:bottom w:w="0" w:type="dxa"/>
            <w:right w:w="0" w:type="dxa"/>
          </w:tblCellMar>
        </w:tblPrEx>
        <w:trPr>
          <w:trHeight w:val="540" w:hRule="atLeast"/>
          <w:jc w:val="center"/>
        </w:trPr>
        <w:tc>
          <w:tcPr>
            <w:tcW w:w="473"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Theme="minorEastAsia" w:hAnsiTheme="minorEastAsia" w:eastAsiaTheme="minorEastAsia" w:cstheme="minorEastAsia"/>
                <w:b w:val="0"/>
                <w:bCs w:val="0"/>
                <w:sz w:val="24"/>
                <w:szCs w:val="24"/>
              </w:rPr>
            </w:pPr>
          </w:p>
        </w:tc>
        <w:tc>
          <w:tcPr>
            <w:tcW w:w="4050" w:type="dxa"/>
            <w:gridSpan w:val="2"/>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（七）总计</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w:t>
            </w:r>
          </w:p>
        </w:tc>
      </w:tr>
      <w:tr>
        <w:tblPrEx>
          <w:tblLayout w:type="fixed"/>
          <w:tblCellMar>
            <w:top w:w="0" w:type="dxa"/>
            <w:left w:w="0" w:type="dxa"/>
            <w:bottom w:w="0" w:type="dxa"/>
            <w:right w:w="0" w:type="dxa"/>
          </w:tblCellMar>
        </w:tblPrEx>
        <w:trPr>
          <w:trHeight w:val="570" w:hRule="atLeast"/>
          <w:jc w:val="center"/>
        </w:trPr>
        <w:tc>
          <w:tcPr>
            <w:tcW w:w="4523" w:type="dxa"/>
            <w:gridSpan w:val="3"/>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四、结转下年度继续办理</w:t>
            </w:r>
          </w:p>
        </w:tc>
        <w:tc>
          <w:tcPr>
            <w:tcW w:w="58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5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8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3"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74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c>
          <w:tcPr>
            <w:tcW w:w="6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aps w:val="0"/>
                <w:color w:val="3D3D3D"/>
                <w:spacing w:val="0"/>
                <w:sz w:val="24"/>
                <w:szCs w:val="24"/>
              </w:rPr>
              <w:t>0</w:t>
            </w:r>
          </w:p>
        </w:tc>
      </w:tr>
    </w:tbl>
    <w:p>
      <w:pPr>
        <w:rPr>
          <w:rFonts w:hint="eastAsia" w:ascii="黑体" w:hAnsi="黑体" w:eastAsia="黑体" w:cs="黑体"/>
          <w:sz w:val="32"/>
          <w:szCs w:val="32"/>
        </w:rPr>
      </w:pPr>
      <w:r>
        <w:rPr>
          <w:rFonts w:hint="eastAsia" w:ascii="黑体" w:hAnsi="黑体" w:eastAsia="黑体" w:cs="黑体"/>
          <w:sz w:val="32"/>
          <w:szCs w:val="32"/>
        </w:rPr>
        <w:t> </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4"/>
        <w:tblW w:w="9353" w:type="dxa"/>
        <w:jc w:val="center"/>
        <w:tblInd w:w="0" w:type="dxa"/>
        <w:shd w:val="clear" w:color="auto" w:fill="auto"/>
        <w:tblLayout w:type="fixed"/>
        <w:tblCellMar>
          <w:top w:w="0" w:type="dxa"/>
          <w:left w:w="0" w:type="dxa"/>
          <w:bottom w:w="0" w:type="dxa"/>
          <w:right w:w="0" w:type="dxa"/>
        </w:tblCellMar>
      </w:tblPr>
      <w:tblGrid>
        <w:gridCol w:w="570"/>
        <w:gridCol w:w="570"/>
        <w:gridCol w:w="570"/>
        <w:gridCol w:w="570"/>
        <w:gridCol w:w="660"/>
        <w:gridCol w:w="525"/>
        <w:gridCol w:w="570"/>
        <w:gridCol w:w="570"/>
        <w:gridCol w:w="570"/>
        <w:gridCol w:w="600"/>
        <w:gridCol w:w="570"/>
        <w:gridCol w:w="570"/>
        <w:gridCol w:w="570"/>
        <w:gridCol w:w="570"/>
        <w:gridCol w:w="1298"/>
      </w:tblGrid>
      <w:tr>
        <w:tblPrEx>
          <w:tblLayout w:type="fixed"/>
          <w:tblCellMar>
            <w:top w:w="0" w:type="dxa"/>
            <w:left w:w="0" w:type="dxa"/>
            <w:bottom w:w="0" w:type="dxa"/>
            <w:right w:w="0" w:type="dxa"/>
          </w:tblCellMar>
        </w:tblPrEx>
        <w:trPr>
          <w:trHeight w:val="555" w:hRule="atLeast"/>
          <w:jc w:val="center"/>
        </w:trPr>
        <w:tc>
          <w:tcPr>
            <w:tcW w:w="2940" w:type="dxa"/>
            <w:gridSpan w:val="5"/>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caps w:val="0"/>
                <w:color w:val="3D3D3D"/>
                <w:spacing w:val="0"/>
                <w:sz w:val="22"/>
                <w:szCs w:val="22"/>
              </w:rPr>
              <w:t>行政复议</w:t>
            </w:r>
          </w:p>
        </w:tc>
        <w:tc>
          <w:tcPr>
            <w:tcW w:w="6413" w:type="dxa"/>
            <w:gridSpan w:val="10"/>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caps w:val="0"/>
                <w:color w:val="3D3D3D"/>
                <w:spacing w:val="0"/>
                <w:sz w:val="22"/>
                <w:szCs w:val="22"/>
              </w:rPr>
              <w:t>行政诉讼</w:t>
            </w:r>
          </w:p>
        </w:tc>
      </w:tr>
      <w:tr>
        <w:tblPrEx>
          <w:tblLayout w:type="fixed"/>
          <w:tblCellMar>
            <w:top w:w="0" w:type="dxa"/>
            <w:left w:w="0" w:type="dxa"/>
            <w:bottom w:w="0" w:type="dxa"/>
            <w:right w:w="0" w:type="dxa"/>
          </w:tblCellMar>
        </w:tblPrEx>
        <w:trPr>
          <w:trHeight w:val="555" w:hRule="atLeast"/>
          <w:jc w:val="center"/>
        </w:trPr>
        <w:tc>
          <w:tcPr>
            <w:tcW w:w="570" w:type="dxa"/>
            <w:vMerge w:val="restart"/>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结果维持</w:t>
            </w:r>
          </w:p>
        </w:tc>
        <w:tc>
          <w:tcPr>
            <w:tcW w:w="570"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结果纠正</w:t>
            </w:r>
          </w:p>
        </w:tc>
        <w:tc>
          <w:tcPr>
            <w:tcW w:w="570" w:type="dxa"/>
            <w:vMerge w:val="restart"/>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其他结果</w:t>
            </w:r>
          </w:p>
        </w:tc>
        <w:tc>
          <w:tcPr>
            <w:tcW w:w="570" w:type="dxa"/>
            <w:vMerge w:val="restart"/>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尚未审结</w:t>
            </w:r>
          </w:p>
        </w:tc>
        <w:tc>
          <w:tcPr>
            <w:tcW w:w="660" w:type="dxa"/>
            <w:vMerge w:val="restart"/>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总计</w:t>
            </w:r>
          </w:p>
        </w:tc>
        <w:tc>
          <w:tcPr>
            <w:tcW w:w="2835" w:type="dxa"/>
            <w:gridSpan w:val="5"/>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未经复议直接起诉</w:t>
            </w:r>
          </w:p>
        </w:tc>
        <w:tc>
          <w:tcPr>
            <w:tcW w:w="3578" w:type="dxa"/>
            <w:gridSpan w:val="5"/>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复议后起诉</w:t>
            </w:r>
          </w:p>
        </w:tc>
      </w:tr>
      <w:tr>
        <w:tblPrEx>
          <w:tblLayout w:type="fixed"/>
          <w:tblCellMar>
            <w:top w:w="0" w:type="dxa"/>
            <w:left w:w="0" w:type="dxa"/>
            <w:bottom w:w="0" w:type="dxa"/>
            <w:right w:w="0" w:type="dxa"/>
          </w:tblCellMar>
        </w:tblPrEx>
        <w:trPr>
          <w:trHeight w:val="1530" w:hRule="atLeast"/>
          <w:jc w:val="center"/>
        </w:trPr>
        <w:tc>
          <w:tcPr>
            <w:tcW w:w="57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宋体"/>
                <w:sz w:val="24"/>
                <w:szCs w:val="24"/>
              </w:rPr>
            </w:pPr>
          </w:p>
        </w:tc>
        <w:tc>
          <w:tcPr>
            <w:tcW w:w="57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宋体"/>
                <w:sz w:val="24"/>
                <w:szCs w:val="24"/>
              </w:rPr>
            </w:pPr>
          </w:p>
        </w:tc>
        <w:tc>
          <w:tcPr>
            <w:tcW w:w="570" w:type="dxa"/>
            <w:vMerge w:val="continue"/>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rPr>
                <w:rFonts w:hint="eastAsia" w:ascii="宋体"/>
                <w:sz w:val="24"/>
                <w:szCs w:val="24"/>
              </w:rPr>
            </w:pPr>
          </w:p>
        </w:tc>
        <w:tc>
          <w:tcPr>
            <w:tcW w:w="570" w:type="dxa"/>
            <w:vMerge w:val="continue"/>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rPr>
                <w:rFonts w:hint="eastAsia" w:ascii="宋体"/>
                <w:sz w:val="24"/>
                <w:szCs w:val="24"/>
              </w:rPr>
            </w:pPr>
          </w:p>
        </w:tc>
        <w:tc>
          <w:tcPr>
            <w:tcW w:w="660" w:type="dxa"/>
            <w:vMerge w:val="continue"/>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rPr>
                <w:rFonts w:hint="eastAsia" w:ascii="宋体"/>
                <w:sz w:val="24"/>
                <w:szCs w:val="24"/>
              </w:rPr>
            </w:pPr>
          </w:p>
        </w:tc>
        <w:tc>
          <w:tcPr>
            <w:tcW w:w="52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结果维持</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结果纠正</w:t>
            </w:r>
          </w:p>
        </w:tc>
        <w:tc>
          <w:tcPr>
            <w:tcW w:w="57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其他结果</w:t>
            </w:r>
          </w:p>
        </w:tc>
        <w:tc>
          <w:tcPr>
            <w:tcW w:w="57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尚未审结</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总计</w:t>
            </w:r>
          </w:p>
        </w:tc>
        <w:tc>
          <w:tcPr>
            <w:tcW w:w="57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结果维持</w:t>
            </w:r>
          </w:p>
        </w:tc>
        <w:tc>
          <w:tcPr>
            <w:tcW w:w="57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结果纠正</w:t>
            </w:r>
          </w:p>
        </w:tc>
        <w:tc>
          <w:tcPr>
            <w:tcW w:w="57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其他结果</w:t>
            </w:r>
          </w:p>
        </w:tc>
        <w:tc>
          <w:tcPr>
            <w:tcW w:w="57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尚未审结</w:t>
            </w:r>
          </w:p>
        </w:tc>
        <w:tc>
          <w:tcPr>
            <w:tcW w:w="1298"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总计</w:t>
            </w:r>
          </w:p>
        </w:tc>
      </w:tr>
      <w:tr>
        <w:tblPrEx>
          <w:tblLayout w:type="fixed"/>
          <w:tblCellMar>
            <w:top w:w="0" w:type="dxa"/>
            <w:left w:w="0" w:type="dxa"/>
            <w:bottom w:w="0" w:type="dxa"/>
            <w:right w:w="0" w:type="dxa"/>
          </w:tblCellMar>
        </w:tblPrEx>
        <w:trPr>
          <w:trHeight w:val="600" w:hRule="atLeast"/>
          <w:jc w:val="center"/>
        </w:trPr>
        <w:tc>
          <w:tcPr>
            <w:tcW w:w="57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0</w:t>
            </w:r>
          </w:p>
        </w:tc>
        <w:tc>
          <w:tcPr>
            <w:tcW w:w="66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0</w:t>
            </w:r>
          </w:p>
        </w:tc>
        <w:tc>
          <w:tcPr>
            <w:tcW w:w="52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0</w:t>
            </w:r>
          </w:p>
        </w:tc>
        <w:tc>
          <w:tcPr>
            <w:tcW w:w="1298"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aps w:val="0"/>
                <w:color w:val="3D3D3D"/>
                <w:spacing w:val="0"/>
                <w:sz w:val="22"/>
                <w:szCs w:val="22"/>
              </w:rPr>
              <w:t>0</w:t>
            </w:r>
          </w:p>
        </w:tc>
      </w:tr>
    </w:tbl>
    <w:p>
      <w:pPr>
        <w:rPr>
          <w:rFonts w:hint="eastAsia" w:ascii="仿宋" w:hAnsi="仿宋" w:eastAsia="仿宋" w:cs="仿宋"/>
          <w:sz w:val="32"/>
          <w:szCs w:val="32"/>
        </w:rPr>
      </w:pPr>
      <w:r>
        <w:rPr>
          <w:rFonts w:hint="eastAsia" w:ascii="仿宋" w:hAnsi="仿宋" w:eastAsia="仿宋" w:cs="仿宋"/>
          <w:sz w:val="32"/>
          <w:szCs w:val="32"/>
        </w:rPr>
        <w:t> </w:t>
      </w:r>
    </w:p>
    <w:p>
      <w:pPr>
        <w:ind w:firstLine="640" w:firstLineChars="200"/>
        <w:rPr>
          <w:rFonts w:hint="eastAsia"/>
        </w:rPr>
      </w:pPr>
      <w:r>
        <w:rPr>
          <w:rFonts w:hint="eastAsia" w:ascii="黑体" w:hAnsi="黑体" w:eastAsia="黑体" w:cs="黑体"/>
          <w:sz w:val="32"/>
          <w:szCs w:val="32"/>
        </w:rPr>
        <w:t>五、政府信息公开工作存在的主要问题及改进情况</w:t>
      </w:r>
    </w:p>
    <w:p>
      <w:pPr>
        <w:ind w:firstLine="640" w:firstLineChars="200"/>
        <w:rPr>
          <w:rFonts w:hint="eastAsia" w:ascii="仿宋" w:hAnsi="仿宋" w:eastAsia="仿宋" w:cs="仿宋"/>
          <w:sz w:val="32"/>
          <w:szCs w:val="32"/>
          <w:lang w:val="en-US"/>
        </w:rPr>
      </w:pPr>
      <w:r>
        <w:rPr>
          <w:rFonts w:hint="eastAsia" w:ascii="仿宋" w:hAnsi="仿宋" w:eastAsia="仿宋" w:cs="仿宋"/>
          <w:sz w:val="32"/>
          <w:szCs w:val="32"/>
        </w:rPr>
        <w:t>主要问题：1、部分信息公开的质量还不高。主要对政策性文件的解读不够细致，解读形式还比较单一。2、信息公开意识有待加强。</w:t>
      </w:r>
      <w:r>
        <w:rPr>
          <w:rFonts w:hint="eastAsia" w:ascii="仿宋" w:hAnsi="仿宋" w:eastAsia="仿宋" w:cs="仿宋"/>
          <w:sz w:val="32"/>
          <w:szCs w:val="32"/>
          <w:lang w:eastAsia="zh-CN"/>
        </w:rPr>
        <w:t>信息发布不够及时，发布格式不够规范</w:t>
      </w:r>
      <w:r>
        <w:rPr>
          <w:rFonts w:hint="eastAsia" w:ascii="仿宋" w:hAnsi="仿宋" w:eastAsia="仿宋" w:cs="仿宋"/>
          <w:sz w:val="32"/>
          <w:szCs w:val="32"/>
        </w:rPr>
        <w:t>。</w:t>
      </w:r>
      <w:r>
        <w:rPr>
          <w:rFonts w:hint="eastAsia" w:ascii="仿宋" w:hAnsi="仿宋" w:eastAsia="仿宋" w:cs="仿宋"/>
          <w:sz w:val="32"/>
          <w:szCs w:val="32"/>
          <w:lang w:val="en-US" w:eastAsia="zh-CN"/>
        </w:rPr>
        <w:t>3、政务公开创新举措少，经验做法报送少。</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整改措施：1、强化政策解读形式，积极探索图片解读和H5页面形式的解读，提高音视频解读，图解比例，讲好体育故事。2、</w:t>
      </w:r>
      <w:r>
        <w:rPr>
          <w:rFonts w:hint="eastAsia" w:ascii="仿宋" w:hAnsi="仿宋" w:eastAsia="仿宋" w:cs="仿宋"/>
          <w:sz w:val="32"/>
          <w:szCs w:val="32"/>
          <w:lang w:eastAsia="zh-CN"/>
        </w:rPr>
        <w:t>加大培训力度和广度，提高全局人员的政务公开业务水平，督促按时保质公开信息。</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向上积极把握政策导向，向外学习经验做法、向内开拓创新，多实践、重实效、多总结，宣传意识增强。</w:t>
      </w:r>
    </w:p>
    <w:p>
      <w:pPr>
        <w:ind w:firstLine="640" w:firstLineChars="200"/>
        <w:rPr>
          <w:rFonts w:hint="eastAsia" w:ascii="黑体" w:hAnsi="黑体" w:eastAsia="黑体" w:cs="黑体"/>
          <w:b w:val="0"/>
          <w:bCs/>
          <w:sz w:val="32"/>
          <w:szCs w:val="32"/>
        </w:rPr>
      </w:pPr>
      <w:r>
        <w:rPr>
          <w:rStyle w:val="6"/>
          <w:rFonts w:hint="eastAsia" w:ascii="黑体" w:hAnsi="黑体" w:eastAsia="黑体" w:cs="黑体"/>
          <w:b w:val="0"/>
          <w:bCs/>
          <w:i w:val="0"/>
          <w:caps w:val="0"/>
          <w:color w:val="3D3D3D"/>
          <w:spacing w:val="0"/>
          <w:sz w:val="32"/>
          <w:szCs w:val="32"/>
          <w:shd w:val="clear" w:fill="FFFFFF"/>
        </w:rPr>
        <w:t>六、其他需要报告的事项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1.202</w:t>
      </w:r>
      <w:r>
        <w:rPr>
          <w:rFonts w:hint="eastAsia" w:ascii="仿宋" w:hAnsi="仿宋" w:eastAsia="仿宋" w:cs="仿宋"/>
          <w:sz w:val="32"/>
          <w:szCs w:val="32"/>
          <w:lang w:val="en-US" w:eastAsia="zh-CN"/>
        </w:rPr>
        <w:t>2</w:t>
      </w:r>
      <w:r>
        <w:rPr>
          <w:rFonts w:hint="eastAsia" w:ascii="仿宋" w:hAnsi="仿宋" w:eastAsia="仿宋" w:cs="仿宋"/>
          <w:sz w:val="32"/>
          <w:szCs w:val="32"/>
        </w:rPr>
        <w:t>年度，我</w:t>
      </w:r>
      <w:r>
        <w:rPr>
          <w:rFonts w:hint="eastAsia" w:ascii="仿宋" w:hAnsi="仿宋" w:eastAsia="仿宋" w:cs="仿宋"/>
          <w:sz w:val="32"/>
          <w:szCs w:val="32"/>
          <w:lang w:eastAsia="zh-CN"/>
        </w:rPr>
        <w:t>局</w:t>
      </w:r>
      <w:r>
        <w:rPr>
          <w:rFonts w:hint="eastAsia" w:ascii="仿宋" w:hAnsi="仿宋" w:eastAsia="仿宋" w:cs="仿宋"/>
          <w:sz w:val="32"/>
          <w:szCs w:val="32"/>
        </w:rPr>
        <w:t>在办理政府信息公开申请过程中，未收取任何信息处理费。</w:t>
      </w:r>
    </w:p>
    <w:p>
      <w:pPr>
        <w:ind w:firstLine="640" w:firstLineChars="200"/>
        <w:rPr>
          <w:rFonts w:hint="eastAsia" w:ascii="微软雅黑" w:hAnsi="微软雅黑" w:eastAsia="微软雅黑" w:cs="微软雅黑"/>
          <w:i w:val="0"/>
          <w:caps w:val="0"/>
          <w:color w:val="000000"/>
          <w:spacing w:val="0"/>
          <w:sz w:val="24"/>
          <w:szCs w:val="24"/>
        </w:rPr>
      </w:pPr>
      <w:r>
        <w:rPr>
          <w:rFonts w:hint="eastAsia" w:ascii="仿宋" w:hAnsi="仿宋" w:eastAsia="仿宋" w:cs="仿宋"/>
          <w:sz w:val="32"/>
          <w:szCs w:val="32"/>
        </w:rPr>
        <w:t>2.为落实国家、省、市政务公开年度</w:t>
      </w:r>
      <w:r>
        <w:rPr>
          <w:rFonts w:hint="eastAsia" w:ascii="仿宋" w:hAnsi="仿宋" w:eastAsia="仿宋" w:cs="仿宋"/>
          <w:sz w:val="32"/>
          <w:szCs w:val="32"/>
          <w:lang w:eastAsia="zh-CN"/>
        </w:rPr>
        <w:t>工作要点</w:t>
      </w:r>
      <w:r>
        <w:rPr>
          <w:rFonts w:hint="eastAsia" w:ascii="仿宋" w:hAnsi="仿宋" w:eastAsia="仿宋" w:cs="仿宋"/>
          <w:sz w:val="32"/>
          <w:szCs w:val="32"/>
        </w:rPr>
        <w:t>，</w:t>
      </w:r>
      <w:r>
        <w:rPr>
          <w:rFonts w:hint="eastAsia" w:ascii="仿宋" w:hAnsi="仿宋" w:eastAsia="仿宋" w:cs="仿宋"/>
          <w:sz w:val="32"/>
          <w:szCs w:val="32"/>
          <w:lang w:eastAsia="zh-CN"/>
        </w:rPr>
        <w:t>市体育局不仅重视组织领导，还注重对人才的培养，更重视制度建设和工作落实的时效。一是注重政务公开领导小组的督查指导作用发挥；二是</w:t>
      </w:r>
      <w:r>
        <w:rPr>
          <w:rFonts w:hint="eastAsia" w:ascii="仿宋" w:hAnsi="仿宋" w:eastAsia="仿宋" w:cs="仿宋"/>
          <w:sz w:val="32"/>
          <w:szCs w:val="32"/>
        </w:rPr>
        <w:t>制定《</w:t>
      </w:r>
      <w:r>
        <w:rPr>
          <w:rFonts w:hint="eastAsia" w:ascii="仿宋" w:hAnsi="仿宋" w:eastAsia="仿宋" w:cs="仿宋"/>
          <w:sz w:val="32"/>
          <w:szCs w:val="32"/>
          <w:lang w:eastAsia="zh-CN"/>
        </w:rPr>
        <w:t>淄博市体育局</w:t>
      </w:r>
      <w:r>
        <w:rPr>
          <w:rFonts w:hint="eastAsia" w:ascii="仿宋" w:hAnsi="仿宋" w:eastAsia="仿宋" w:cs="仿宋"/>
          <w:sz w:val="32"/>
          <w:szCs w:val="32"/>
        </w:rPr>
        <w:t>2022年政务公开工作方案》</w:t>
      </w:r>
      <w:r>
        <w:rPr>
          <w:rFonts w:hint="eastAsia" w:ascii="仿宋" w:hAnsi="仿宋" w:eastAsia="仿宋" w:cs="仿宋"/>
          <w:sz w:val="32"/>
          <w:szCs w:val="32"/>
          <w:lang w:eastAsia="zh-CN"/>
        </w:rPr>
        <w:t>；三是调整了政务公开工作指南内容，制定了《</w:t>
      </w:r>
      <w:r>
        <w:rPr>
          <w:rFonts w:hint="eastAsia" w:ascii="仿宋" w:hAnsi="仿宋" w:eastAsia="仿宋" w:cs="仿宋"/>
          <w:sz w:val="32"/>
          <w:szCs w:val="32"/>
        </w:rPr>
        <w:t>淄博市体育局</w:t>
      </w:r>
      <w:r>
        <w:rPr>
          <w:rFonts w:hint="eastAsia" w:ascii="仿宋" w:hAnsi="仿宋" w:eastAsia="仿宋" w:cs="仿宋"/>
          <w:sz w:val="32"/>
          <w:szCs w:val="32"/>
          <w:lang w:val="en-US" w:eastAsia="zh-CN"/>
        </w:rPr>
        <w:t>2022年</w:t>
      </w:r>
      <w:r>
        <w:rPr>
          <w:rFonts w:hint="eastAsia" w:ascii="仿宋" w:hAnsi="仿宋" w:eastAsia="仿宋" w:cs="仿宋"/>
          <w:sz w:val="32"/>
          <w:szCs w:val="32"/>
        </w:rPr>
        <w:t>政务公开工作</w:t>
      </w:r>
      <w:r>
        <w:rPr>
          <w:rFonts w:hint="eastAsia" w:ascii="仿宋" w:hAnsi="仿宋" w:eastAsia="仿宋" w:cs="仿宋"/>
          <w:sz w:val="32"/>
          <w:szCs w:val="32"/>
          <w:lang w:eastAsia="zh-CN"/>
        </w:rPr>
        <w:t>目录》；四是组织召开了政务公开工作专题会，党组研究了政务公开工作当前落实情况、存在的问题及整改措施，对今后工作作出部署；五是制定年度培训计划，组织召开培训会，重点学习了《</w:t>
      </w:r>
      <w:r>
        <w:rPr>
          <w:rFonts w:hint="eastAsia" w:ascii="仿宋" w:hAnsi="仿宋" w:eastAsia="仿宋" w:cs="仿宋"/>
          <w:sz w:val="32"/>
          <w:szCs w:val="32"/>
        </w:rPr>
        <w:t>中华人民共和国政府信息公开条例</w:t>
      </w:r>
      <w:r>
        <w:rPr>
          <w:rFonts w:hint="eastAsia" w:ascii="仿宋" w:hAnsi="仿宋" w:eastAsia="仿宋" w:cs="仿宋"/>
          <w:sz w:val="32"/>
          <w:szCs w:val="32"/>
          <w:lang w:eastAsia="zh-CN"/>
        </w:rPr>
        <w:t>》、市政府政务公开工作要点、实施方案、考核标准等政策，提高了全员业务水平；六是为强化工作落实效果，组织召开工作推进会，对政务工作做督导部署，对上传信息格式标准和操作方法及上传信息范围和完成时限提出要求。七是为提高我局对外宣传沟通渠道，优化了局官网布局，对相关栏目进行科学规划，尤其是政务公开栏目做了大调整，更全面、更便民，提高了群众参与互动性。市体育局政务</w:t>
      </w:r>
      <w:r>
        <w:rPr>
          <w:rFonts w:hint="eastAsia" w:ascii="仿宋" w:hAnsi="仿宋" w:eastAsia="仿宋" w:cs="仿宋"/>
          <w:i w:val="0"/>
          <w:caps w:val="0"/>
          <w:color w:val="000000"/>
          <w:spacing w:val="0"/>
          <w:sz w:val="32"/>
          <w:szCs w:val="32"/>
        </w:rPr>
        <w:t>信息公开工作开展更</w:t>
      </w:r>
      <w:r>
        <w:rPr>
          <w:rFonts w:hint="eastAsia" w:ascii="仿宋" w:hAnsi="仿宋" w:eastAsia="仿宋" w:cs="仿宋"/>
          <w:i w:val="0"/>
          <w:caps w:val="0"/>
          <w:color w:val="000000"/>
          <w:spacing w:val="0"/>
          <w:sz w:val="32"/>
          <w:szCs w:val="32"/>
          <w:lang w:eastAsia="zh-CN"/>
        </w:rPr>
        <w:t>加规范、更加科学、更加</w:t>
      </w:r>
      <w:r>
        <w:rPr>
          <w:rFonts w:hint="eastAsia" w:ascii="仿宋" w:hAnsi="仿宋" w:eastAsia="仿宋" w:cs="仿宋"/>
          <w:i w:val="0"/>
          <w:caps w:val="0"/>
          <w:color w:val="000000"/>
          <w:spacing w:val="0"/>
          <w:sz w:val="32"/>
          <w:szCs w:val="32"/>
        </w:rPr>
        <w:t>常态</w:t>
      </w:r>
      <w:r>
        <w:rPr>
          <w:rFonts w:hint="eastAsia" w:ascii="仿宋" w:hAnsi="仿宋" w:eastAsia="仿宋" w:cs="仿宋"/>
          <w:i w:val="0"/>
          <w:caps w:val="0"/>
          <w:color w:val="000000"/>
          <w:spacing w:val="0"/>
          <w:sz w:val="32"/>
          <w:szCs w:val="32"/>
          <w:lang w:eastAsia="zh-CN"/>
        </w:rPr>
        <w:t>化</w:t>
      </w:r>
      <w:r>
        <w:rPr>
          <w:rFonts w:hint="eastAsia" w:ascii="仿宋" w:hAnsi="仿宋" w:eastAsia="仿宋" w:cs="仿宋"/>
          <w:i w:val="0"/>
          <w:caps w:val="0"/>
          <w:color w:val="000000"/>
          <w:spacing w:val="0"/>
          <w:sz w:val="32"/>
          <w:szCs w:val="3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sz w:val="32"/>
          <w:szCs w:val="32"/>
        </w:rPr>
        <w:t>3.202</w:t>
      </w: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rPr>
        <w:t>年</w:t>
      </w:r>
      <w:r>
        <w:rPr>
          <w:rFonts w:hint="eastAsia" w:ascii="仿宋" w:hAnsi="仿宋" w:eastAsia="仿宋" w:cs="仿宋"/>
          <w:i w:val="0"/>
          <w:caps w:val="0"/>
          <w:color w:val="000000"/>
          <w:spacing w:val="0"/>
          <w:sz w:val="32"/>
          <w:szCs w:val="32"/>
          <w:lang w:eastAsia="zh-CN"/>
        </w:rPr>
        <w:t>度</w:t>
      </w:r>
      <w:r>
        <w:rPr>
          <w:rFonts w:hint="eastAsia" w:ascii="仿宋" w:hAnsi="仿宋" w:eastAsia="仿宋" w:cs="仿宋"/>
          <w:i w:val="0"/>
          <w:caps w:val="0"/>
          <w:color w:val="000000"/>
          <w:spacing w:val="0"/>
          <w:sz w:val="32"/>
          <w:szCs w:val="32"/>
        </w:rPr>
        <w:t>，我</w:t>
      </w:r>
      <w:r>
        <w:rPr>
          <w:rFonts w:hint="eastAsia" w:ascii="仿宋" w:hAnsi="仿宋" w:eastAsia="仿宋" w:cs="仿宋"/>
          <w:i w:val="0"/>
          <w:caps w:val="0"/>
          <w:color w:val="000000"/>
          <w:spacing w:val="0"/>
          <w:sz w:val="32"/>
          <w:szCs w:val="32"/>
          <w:lang w:eastAsia="zh-CN"/>
        </w:rPr>
        <w:t>局受理</w:t>
      </w:r>
      <w:r>
        <w:rPr>
          <w:rFonts w:hint="eastAsia" w:ascii="仿宋" w:hAnsi="仿宋" w:eastAsia="仿宋" w:cs="仿宋"/>
          <w:i w:val="0"/>
          <w:caps w:val="0"/>
          <w:color w:val="000000"/>
          <w:spacing w:val="0"/>
          <w:sz w:val="32"/>
          <w:szCs w:val="32"/>
          <w:shd w:val="clear" w:color="auto" w:fill="FFFFFF"/>
          <w:lang w:val="en-US" w:eastAsia="zh-CN"/>
        </w:rPr>
        <w:t>政协委员提案7件，人大建议0件，都按期办结，信息已全部公开。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sz w:val="32"/>
          <w:szCs w:val="32"/>
        </w:rPr>
        <w:t>4.202</w:t>
      </w: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rPr>
        <w:t>年，</w:t>
      </w:r>
      <w:r>
        <w:rPr>
          <w:rFonts w:hint="eastAsia" w:ascii="仿宋" w:hAnsi="仿宋" w:eastAsia="仿宋" w:cs="仿宋"/>
          <w:i w:val="0"/>
          <w:caps w:val="0"/>
          <w:color w:val="000000"/>
          <w:spacing w:val="0"/>
          <w:sz w:val="32"/>
          <w:szCs w:val="32"/>
          <w:lang w:eastAsia="zh-CN"/>
        </w:rPr>
        <w:t>我局在政务公开工作方面创新举措，</w:t>
      </w:r>
      <w:r>
        <w:rPr>
          <w:rFonts w:hint="eastAsia" w:ascii="仿宋" w:hAnsi="仿宋" w:eastAsia="仿宋" w:cs="仿宋"/>
          <w:sz w:val="32"/>
          <w:szCs w:val="32"/>
          <w:lang w:val="en-US" w:eastAsia="zh-CN"/>
        </w:rPr>
        <w:t>强化在监督指导上下功夫，加强协调沟通，促进全面提升。一是加强与政务公开考核部门的沟通联络，积极寻求政策支持和业务指导，及时掌握信息，转变工作态度，提高工作主动性。二是进行政策宣讲，通过网站、培训等方式，增强大家对政策的理解把握。三是上门指导服务，针对细化的分工，到科室逐一讲解，明确干些啥，干到啥程度，督促科室、单位及时公开相关信息。四是强化业务开展督导，依据省第三方评估考核方案，加强对平时工作的督导，规范发布流程，形成逐级审批制，确保信息公布的及时、安全、保密性。</w:t>
      </w:r>
      <w:r>
        <w:rPr>
          <w:rFonts w:hint="eastAsia" w:ascii="仿宋" w:hAnsi="仿宋" w:eastAsia="仿宋" w:cs="仿宋"/>
          <w:i w:val="0"/>
          <w:caps w:val="0"/>
          <w:color w:val="000000"/>
          <w:spacing w:val="0"/>
          <w:sz w:val="32"/>
          <w:szCs w:val="32"/>
        </w:rPr>
        <w:t>积极推动落实“管业务就要管公开”的理念，充分调动和</w:t>
      </w:r>
      <w:r>
        <w:rPr>
          <w:rFonts w:hint="eastAsia" w:ascii="仿宋" w:hAnsi="仿宋" w:eastAsia="仿宋" w:cs="仿宋"/>
          <w:i w:val="0"/>
          <w:caps w:val="0"/>
          <w:color w:val="000000"/>
          <w:spacing w:val="0"/>
          <w:sz w:val="32"/>
          <w:szCs w:val="32"/>
          <w:lang w:eastAsia="zh-CN"/>
        </w:rPr>
        <w:t>发挥科室和</w:t>
      </w:r>
      <w:r>
        <w:rPr>
          <w:rFonts w:hint="eastAsia" w:ascii="仿宋" w:hAnsi="仿宋" w:eastAsia="仿宋" w:cs="仿宋"/>
          <w:i w:val="0"/>
          <w:caps w:val="0"/>
          <w:color w:val="000000"/>
          <w:spacing w:val="0"/>
          <w:sz w:val="32"/>
          <w:szCs w:val="32"/>
        </w:rPr>
        <w:t>单位</w:t>
      </w:r>
      <w:r>
        <w:rPr>
          <w:rFonts w:hint="eastAsia" w:ascii="仿宋" w:hAnsi="仿宋" w:eastAsia="仿宋" w:cs="仿宋"/>
          <w:i w:val="0"/>
          <w:caps w:val="0"/>
          <w:color w:val="000000"/>
          <w:spacing w:val="0"/>
          <w:sz w:val="32"/>
          <w:szCs w:val="32"/>
          <w:lang w:eastAsia="zh-CN"/>
        </w:rPr>
        <w:t>参与积极性，</w:t>
      </w:r>
      <w:r>
        <w:rPr>
          <w:rFonts w:hint="eastAsia" w:ascii="仿宋" w:hAnsi="仿宋" w:eastAsia="仿宋" w:cs="仿宋"/>
          <w:i w:val="0"/>
          <w:caps w:val="0"/>
          <w:color w:val="000000"/>
          <w:spacing w:val="0"/>
          <w:sz w:val="32"/>
          <w:szCs w:val="32"/>
        </w:rPr>
        <w:t>确保业务工作推进到哪里，政务公开就跟进到哪里，努力形成上下联动、齐抓共管的政务公开工作格局。</w:t>
      </w:r>
    </w:p>
    <w:p>
      <w:pPr>
        <w:rPr>
          <w:rFonts w:hint="eastAsia"/>
        </w:rPr>
      </w:pPr>
    </w:p>
    <w:p>
      <w:pPr>
        <w:ind w:firstLine="420" w:firstLineChars="200"/>
        <w:rPr>
          <w:rFonts w:hint="eastAsia" w:eastAsia="仿宋"/>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18F3CD"/>
    <w:multiLevelType w:val="singleLevel"/>
    <w:tmpl w:val="8618F3C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9C2749"/>
    <w:rsid w:val="00312D95"/>
    <w:rsid w:val="0052219C"/>
    <w:rsid w:val="00C10AAD"/>
    <w:rsid w:val="00CC7E35"/>
    <w:rsid w:val="00D663E3"/>
    <w:rsid w:val="00E2554A"/>
    <w:rsid w:val="01214807"/>
    <w:rsid w:val="01ED512F"/>
    <w:rsid w:val="025C028A"/>
    <w:rsid w:val="02727617"/>
    <w:rsid w:val="028B6342"/>
    <w:rsid w:val="02B955A1"/>
    <w:rsid w:val="02C8731D"/>
    <w:rsid w:val="02FD42A7"/>
    <w:rsid w:val="03212312"/>
    <w:rsid w:val="033015AA"/>
    <w:rsid w:val="03B60BF4"/>
    <w:rsid w:val="03BB0383"/>
    <w:rsid w:val="03C833BC"/>
    <w:rsid w:val="040D1D68"/>
    <w:rsid w:val="04182846"/>
    <w:rsid w:val="04B10C72"/>
    <w:rsid w:val="04C70CE5"/>
    <w:rsid w:val="04ED7B9D"/>
    <w:rsid w:val="050C6668"/>
    <w:rsid w:val="05945DB8"/>
    <w:rsid w:val="059F3DD0"/>
    <w:rsid w:val="06501E37"/>
    <w:rsid w:val="06560515"/>
    <w:rsid w:val="06757B63"/>
    <w:rsid w:val="07162A05"/>
    <w:rsid w:val="071F45D4"/>
    <w:rsid w:val="07406A2A"/>
    <w:rsid w:val="07587341"/>
    <w:rsid w:val="076F487D"/>
    <w:rsid w:val="07B07B3C"/>
    <w:rsid w:val="07B60F2B"/>
    <w:rsid w:val="07D237AD"/>
    <w:rsid w:val="08522AA9"/>
    <w:rsid w:val="087E6891"/>
    <w:rsid w:val="08891BA0"/>
    <w:rsid w:val="08FA75B8"/>
    <w:rsid w:val="093F520E"/>
    <w:rsid w:val="0960546A"/>
    <w:rsid w:val="09B60D3F"/>
    <w:rsid w:val="09C03868"/>
    <w:rsid w:val="0A181984"/>
    <w:rsid w:val="0A2842AD"/>
    <w:rsid w:val="0A6176E8"/>
    <w:rsid w:val="0A6C63AD"/>
    <w:rsid w:val="0A9B3807"/>
    <w:rsid w:val="0B0F34C1"/>
    <w:rsid w:val="0B915BF2"/>
    <w:rsid w:val="0BAC42C0"/>
    <w:rsid w:val="0CC01204"/>
    <w:rsid w:val="0CC45547"/>
    <w:rsid w:val="0DC33923"/>
    <w:rsid w:val="0E2B6B38"/>
    <w:rsid w:val="0E6B56E7"/>
    <w:rsid w:val="0EA1160E"/>
    <w:rsid w:val="0EB86543"/>
    <w:rsid w:val="0EF31DCC"/>
    <w:rsid w:val="0F2021BD"/>
    <w:rsid w:val="0F2C35D5"/>
    <w:rsid w:val="0F406DF0"/>
    <w:rsid w:val="0F743C73"/>
    <w:rsid w:val="0F914C31"/>
    <w:rsid w:val="10DA6B10"/>
    <w:rsid w:val="10FF0879"/>
    <w:rsid w:val="117035C0"/>
    <w:rsid w:val="119706D0"/>
    <w:rsid w:val="11F5128F"/>
    <w:rsid w:val="12166C4C"/>
    <w:rsid w:val="12A354B5"/>
    <w:rsid w:val="12AE1EE2"/>
    <w:rsid w:val="14927579"/>
    <w:rsid w:val="15284F00"/>
    <w:rsid w:val="155543B2"/>
    <w:rsid w:val="158A5D9C"/>
    <w:rsid w:val="15CC128A"/>
    <w:rsid w:val="164443FD"/>
    <w:rsid w:val="16C9598E"/>
    <w:rsid w:val="174C4C03"/>
    <w:rsid w:val="17EC2347"/>
    <w:rsid w:val="18561F91"/>
    <w:rsid w:val="18613F79"/>
    <w:rsid w:val="18C71461"/>
    <w:rsid w:val="1937378C"/>
    <w:rsid w:val="194F2D84"/>
    <w:rsid w:val="19B011F8"/>
    <w:rsid w:val="1A135A0A"/>
    <w:rsid w:val="1A275733"/>
    <w:rsid w:val="1A2B0C0A"/>
    <w:rsid w:val="1A362E03"/>
    <w:rsid w:val="1A4E7D37"/>
    <w:rsid w:val="1A7A6ADD"/>
    <w:rsid w:val="1AD61CA6"/>
    <w:rsid w:val="1AED41A2"/>
    <w:rsid w:val="1B03155F"/>
    <w:rsid w:val="1B6A2072"/>
    <w:rsid w:val="1BB4033A"/>
    <w:rsid w:val="1C2B1D66"/>
    <w:rsid w:val="1CCB3D05"/>
    <w:rsid w:val="1CE6547E"/>
    <w:rsid w:val="1CE8182E"/>
    <w:rsid w:val="1D6076C5"/>
    <w:rsid w:val="1DFC0265"/>
    <w:rsid w:val="1E1A3391"/>
    <w:rsid w:val="1E8304EC"/>
    <w:rsid w:val="1EBC2993"/>
    <w:rsid w:val="1F9341DC"/>
    <w:rsid w:val="1FA5096E"/>
    <w:rsid w:val="1FAF22AB"/>
    <w:rsid w:val="20122A9B"/>
    <w:rsid w:val="2046723E"/>
    <w:rsid w:val="206F2A37"/>
    <w:rsid w:val="206F5021"/>
    <w:rsid w:val="20C650CF"/>
    <w:rsid w:val="21032365"/>
    <w:rsid w:val="215C2673"/>
    <w:rsid w:val="218F7DE7"/>
    <w:rsid w:val="21C30ACF"/>
    <w:rsid w:val="224B5817"/>
    <w:rsid w:val="22602FCE"/>
    <w:rsid w:val="22933AE4"/>
    <w:rsid w:val="229D6919"/>
    <w:rsid w:val="22D74128"/>
    <w:rsid w:val="22FF133D"/>
    <w:rsid w:val="230556DC"/>
    <w:rsid w:val="231904A7"/>
    <w:rsid w:val="233926A1"/>
    <w:rsid w:val="238B6AB5"/>
    <w:rsid w:val="238D0497"/>
    <w:rsid w:val="23D703ED"/>
    <w:rsid w:val="23DF5186"/>
    <w:rsid w:val="244615C9"/>
    <w:rsid w:val="249D25C4"/>
    <w:rsid w:val="24BA1756"/>
    <w:rsid w:val="25D61E24"/>
    <w:rsid w:val="26312744"/>
    <w:rsid w:val="26B46060"/>
    <w:rsid w:val="27765109"/>
    <w:rsid w:val="278A2608"/>
    <w:rsid w:val="27946113"/>
    <w:rsid w:val="27DA1506"/>
    <w:rsid w:val="28312B6E"/>
    <w:rsid w:val="28D55967"/>
    <w:rsid w:val="2A0C5611"/>
    <w:rsid w:val="2ABB6D8D"/>
    <w:rsid w:val="2ADD5C9F"/>
    <w:rsid w:val="2AE3361A"/>
    <w:rsid w:val="2AEF3974"/>
    <w:rsid w:val="2BB03683"/>
    <w:rsid w:val="2BE035A1"/>
    <w:rsid w:val="2BE769B3"/>
    <w:rsid w:val="2BFB117D"/>
    <w:rsid w:val="2C064763"/>
    <w:rsid w:val="2C441973"/>
    <w:rsid w:val="2CEF10B6"/>
    <w:rsid w:val="2CEF68BB"/>
    <w:rsid w:val="2D8F5FC4"/>
    <w:rsid w:val="2DB27326"/>
    <w:rsid w:val="2DD102D9"/>
    <w:rsid w:val="2E215953"/>
    <w:rsid w:val="2E4A32B9"/>
    <w:rsid w:val="2EC60C87"/>
    <w:rsid w:val="2F1745FE"/>
    <w:rsid w:val="2FB60D62"/>
    <w:rsid w:val="2FDA72B7"/>
    <w:rsid w:val="2FDD4ABF"/>
    <w:rsid w:val="2FF17B77"/>
    <w:rsid w:val="304A4828"/>
    <w:rsid w:val="30576D23"/>
    <w:rsid w:val="308A52D2"/>
    <w:rsid w:val="30F22D06"/>
    <w:rsid w:val="31422527"/>
    <w:rsid w:val="315367A4"/>
    <w:rsid w:val="31537258"/>
    <w:rsid w:val="316E5D8D"/>
    <w:rsid w:val="319C2749"/>
    <w:rsid w:val="323B4C49"/>
    <w:rsid w:val="3272679E"/>
    <w:rsid w:val="327531AC"/>
    <w:rsid w:val="328346C4"/>
    <w:rsid w:val="32DF53C0"/>
    <w:rsid w:val="332E4223"/>
    <w:rsid w:val="33360850"/>
    <w:rsid w:val="33534DB2"/>
    <w:rsid w:val="33854FBB"/>
    <w:rsid w:val="33D25399"/>
    <w:rsid w:val="35A41D2F"/>
    <w:rsid w:val="363E1D92"/>
    <w:rsid w:val="36886BA5"/>
    <w:rsid w:val="369E5EFD"/>
    <w:rsid w:val="36B324D4"/>
    <w:rsid w:val="36B94E42"/>
    <w:rsid w:val="37050E78"/>
    <w:rsid w:val="371B583A"/>
    <w:rsid w:val="3773222C"/>
    <w:rsid w:val="378F15B9"/>
    <w:rsid w:val="386B13A1"/>
    <w:rsid w:val="38844D36"/>
    <w:rsid w:val="38DF308A"/>
    <w:rsid w:val="38EF67AC"/>
    <w:rsid w:val="38F23A7B"/>
    <w:rsid w:val="39325837"/>
    <w:rsid w:val="39580B07"/>
    <w:rsid w:val="395934D5"/>
    <w:rsid w:val="39D457C3"/>
    <w:rsid w:val="39D62C67"/>
    <w:rsid w:val="3A0D046E"/>
    <w:rsid w:val="3AE713A2"/>
    <w:rsid w:val="3C5F5E41"/>
    <w:rsid w:val="3C6D7BCE"/>
    <w:rsid w:val="3CB75843"/>
    <w:rsid w:val="3D1E1B44"/>
    <w:rsid w:val="3D327614"/>
    <w:rsid w:val="3D6735FC"/>
    <w:rsid w:val="3DE5778F"/>
    <w:rsid w:val="3E69293C"/>
    <w:rsid w:val="3E7E1E69"/>
    <w:rsid w:val="3ED35F35"/>
    <w:rsid w:val="3EDA2DBB"/>
    <w:rsid w:val="3F0944B2"/>
    <w:rsid w:val="3F395543"/>
    <w:rsid w:val="3F4D7124"/>
    <w:rsid w:val="3F6433E9"/>
    <w:rsid w:val="3F842686"/>
    <w:rsid w:val="3FBE5DE0"/>
    <w:rsid w:val="410F6B6D"/>
    <w:rsid w:val="412E5DC8"/>
    <w:rsid w:val="41B21ABA"/>
    <w:rsid w:val="41D44452"/>
    <w:rsid w:val="42177C6A"/>
    <w:rsid w:val="422820FD"/>
    <w:rsid w:val="422E6914"/>
    <w:rsid w:val="4280306D"/>
    <w:rsid w:val="42BA4BD5"/>
    <w:rsid w:val="430F6681"/>
    <w:rsid w:val="436808F6"/>
    <w:rsid w:val="43841CE2"/>
    <w:rsid w:val="43D7712A"/>
    <w:rsid w:val="4418643F"/>
    <w:rsid w:val="441C5024"/>
    <w:rsid w:val="44FF065A"/>
    <w:rsid w:val="44FF73EB"/>
    <w:rsid w:val="453018E4"/>
    <w:rsid w:val="453D3971"/>
    <w:rsid w:val="458B3759"/>
    <w:rsid w:val="4594368E"/>
    <w:rsid w:val="45C554EE"/>
    <w:rsid w:val="45D34D26"/>
    <w:rsid w:val="45DB50DB"/>
    <w:rsid w:val="45F43203"/>
    <w:rsid w:val="45FB3050"/>
    <w:rsid w:val="46906360"/>
    <w:rsid w:val="46B5135B"/>
    <w:rsid w:val="46E447F5"/>
    <w:rsid w:val="475D29DA"/>
    <w:rsid w:val="4786306B"/>
    <w:rsid w:val="47874C6A"/>
    <w:rsid w:val="47E77ED8"/>
    <w:rsid w:val="48316A90"/>
    <w:rsid w:val="483825A5"/>
    <w:rsid w:val="48AF1CB6"/>
    <w:rsid w:val="490C02AC"/>
    <w:rsid w:val="4A472245"/>
    <w:rsid w:val="4A9B6934"/>
    <w:rsid w:val="4ABC3E47"/>
    <w:rsid w:val="4ADD008F"/>
    <w:rsid w:val="4B061C17"/>
    <w:rsid w:val="4B782F06"/>
    <w:rsid w:val="4B842EDC"/>
    <w:rsid w:val="4B8A16A6"/>
    <w:rsid w:val="4BB50960"/>
    <w:rsid w:val="4C507CA7"/>
    <w:rsid w:val="4C5C46A5"/>
    <w:rsid w:val="4C8C050C"/>
    <w:rsid w:val="4D480F29"/>
    <w:rsid w:val="4D774DC1"/>
    <w:rsid w:val="4DD12AB7"/>
    <w:rsid w:val="4DD842F4"/>
    <w:rsid w:val="4DF171AB"/>
    <w:rsid w:val="4E0E3C37"/>
    <w:rsid w:val="4E3F2961"/>
    <w:rsid w:val="4E6D2205"/>
    <w:rsid w:val="4EB92D8C"/>
    <w:rsid w:val="4F0118CE"/>
    <w:rsid w:val="4F155E91"/>
    <w:rsid w:val="4F720270"/>
    <w:rsid w:val="4FAC13C8"/>
    <w:rsid w:val="50281819"/>
    <w:rsid w:val="502E6CCA"/>
    <w:rsid w:val="50406670"/>
    <w:rsid w:val="504378D5"/>
    <w:rsid w:val="50C537C8"/>
    <w:rsid w:val="50E33783"/>
    <w:rsid w:val="515C3FCD"/>
    <w:rsid w:val="51693635"/>
    <w:rsid w:val="519068A9"/>
    <w:rsid w:val="524674A7"/>
    <w:rsid w:val="52FA56AC"/>
    <w:rsid w:val="53071556"/>
    <w:rsid w:val="53166E17"/>
    <w:rsid w:val="53BF59C2"/>
    <w:rsid w:val="542F28A3"/>
    <w:rsid w:val="54AC504C"/>
    <w:rsid w:val="54B4237B"/>
    <w:rsid w:val="54FF4580"/>
    <w:rsid w:val="55C92176"/>
    <w:rsid w:val="55F46C38"/>
    <w:rsid w:val="561C339F"/>
    <w:rsid w:val="56395C18"/>
    <w:rsid w:val="564D7222"/>
    <w:rsid w:val="565E17CD"/>
    <w:rsid w:val="56D02E74"/>
    <w:rsid w:val="579E03AC"/>
    <w:rsid w:val="58270C07"/>
    <w:rsid w:val="584B1B91"/>
    <w:rsid w:val="58B80D9D"/>
    <w:rsid w:val="599453A1"/>
    <w:rsid w:val="599B731D"/>
    <w:rsid w:val="599D40D1"/>
    <w:rsid w:val="59CC54D1"/>
    <w:rsid w:val="59DF2D89"/>
    <w:rsid w:val="5A1A2C48"/>
    <w:rsid w:val="5A4F48D2"/>
    <w:rsid w:val="5A5B0028"/>
    <w:rsid w:val="5A5C205C"/>
    <w:rsid w:val="5AE07E43"/>
    <w:rsid w:val="5BA64F55"/>
    <w:rsid w:val="5BFA5AF1"/>
    <w:rsid w:val="5C220A19"/>
    <w:rsid w:val="5C807744"/>
    <w:rsid w:val="5D026B03"/>
    <w:rsid w:val="5D1B1F64"/>
    <w:rsid w:val="5D497471"/>
    <w:rsid w:val="5D927305"/>
    <w:rsid w:val="5DA612A9"/>
    <w:rsid w:val="5DD73057"/>
    <w:rsid w:val="5E613A07"/>
    <w:rsid w:val="5E9E361E"/>
    <w:rsid w:val="5EAF5375"/>
    <w:rsid w:val="5EDC09DE"/>
    <w:rsid w:val="5F133EBC"/>
    <w:rsid w:val="5F59417A"/>
    <w:rsid w:val="5F857E6C"/>
    <w:rsid w:val="5F9C00AE"/>
    <w:rsid w:val="5FC82F43"/>
    <w:rsid w:val="5FCD21C1"/>
    <w:rsid w:val="601E6CB9"/>
    <w:rsid w:val="606A58A3"/>
    <w:rsid w:val="60EA2489"/>
    <w:rsid w:val="613434A0"/>
    <w:rsid w:val="61B4156A"/>
    <w:rsid w:val="61BC6D65"/>
    <w:rsid w:val="61DE6745"/>
    <w:rsid w:val="61E45427"/>
    <w:rsid w:val="622E1DD7"/>
    <w:rsid w:val="62AE69E2"/>
    <w:rsid w:val="63041517"/>
    <w:rsid w:val="630B7BAF"/>
    <w:rsid w:val="630F2555"/>
    <w:rsid w:val="633F0D38"/>
    <w:rsid w:val="635E0529"/>
    <w:rsid w:val="645A5051"/>
    <w:rsid w:val="65324396"/>
    <w:rsid w:val="659459A7"/>
    <w:rsid w:val="663B3AE2"/>
    <w:rsid w:val="6714185A"/>
    <w:rsid w:val="671C13A7"/>
    <w:rsid w:val="672E161E"/>
    <w:rsid w:val="675079C7"/>
    <w:rsid w:val="67B31A59"/>
    <w:rsid w:val="67EF507E"/>
    <w:rsid w:val="68201DA3"/>
    <w:rsid w:val="68631A62"/>
    <w:rsid w:val="687312B2"/>
    <w:rsid w:val="687E249C"/>
    <w:rsid w:val="699D365E"/>
    <w:rsid w:val="69BB6E8B"/>
    <w:rsid w:val="69F2513F"/>
    <w:rsid w:val="6A2F6B09"/>
    <w:rsid w:val="6A734BB3"/>
    <w:rsid w:val="6A8F06EF"/>
    <w:rsid w:val="6B1B6948"/>
    <w:rsid w:val="6BED52E3"/>
    <w:rsid w:val="6C33121F"/>
    <w:rsid w:val="6C5115FE"/>
    <w:rsid w:val="6C5F6728"/>
    <w:rsid w:val="6C9B75AC"/>
    <w:rsid w:val="6CA63A6F"/>
    <w:rsid w:val="6CD92981"/>
    <w:rsid w:val="6CE87FE7"/>
    <w:rsid w:val="6D132982"/>
    <w:rsid w:val="6D4701D3"/>
    <w:rsid w:val="6D4D25BF"/>
    <w:rsid w:val="6D8C1A2D"/>
    <w:rsid w:val="6DCA59B4"/>
    <w:rsid w:val="6E08500E"/>
    <w:rsid w:val="6E393EE2"/>
    <w:rsid w:val="6E5A7ACE"/>
    <w:rsid w:val="6F1612CC"/>
    <w:rsid w:val="6F4512F1"/>
    <w:rsid w:val="6F4F50F2"/>
    <w:rsid w:val="6FC41EEC"/>
    <w:rsid w:val="6FD60875"/>
    <w:rsid w:val="707D052F"/>
    <w:rsid w:val="70D7016B"/>
    <w:rsid w:val="71082CA7"/>
    <w:rsid w:val="711C56E7"/>
    <w:rsid w:val="71460EF3"/>
    <w:rsid w:val="718564F6"/>
    <w:rsid w:val="722B2987"/>
    <w:rsid w:val="72397D38"/>
    <w:rsid w:val="72AF0142"/>
    <w:rsid w:val="72CD30EE"/>
    <w:rsid w:val="72D52784"/>
    <w:rsid w:val="72EA006E"/>
    <w:rsid w:val="736F7BE2"/>
    <w:rsid w:val="74192328"/>
    <w:rsid w:val="7475233D"/>
    <w:rsid w:val="74BA16E4"/>
    <w:rsid w:val="74FA0F84"/>
    <w:rsid w:val="74FD7D07"/>
    <w:rsid w:val="75831B45"/>
    <w:rsid w:val="758C6B4A"/>
    <w:rsid w:val="75A56BC1"/>
    <w:rsid w:val="75BF35B6"/>
    <w:rsid w:val="75F73955"/>
    <w:rsid w:val="75FF404E"/>
    <w:rsid w:val="76A66F0D"/>
    <w:rsid w:val="76C50674"/>
    <w:rsid w:val="76E81B9F"/>
    <w:rsid w:val="77156382"/>
    <w:rsid w:val="77263FB4"/>
    <w:rsid w:val="783004F7"/>
    <w:rsid w:val="783278CF"/>
    <w:rsid w:val="788C7BF2"/>
    <w:rsid w:val="78A36E1D"/>
    <w:rsid w:val="78D302B2"/>
    <w:rsid w:val="78E764BB"/>
    <w:rsid w:val="79090883"/>
    <w:rsid w:val="794011D7"/>
    <w:rsid w:val="796D008E"/>
    <w:rsid w:val="79F91C4F"/>
    <w:rsid w:val="7A187718"/>
    <w:rsid w:val="7A4E4EE6"/>
    <w:rsid w:val="7A756E73"/>
    <w:rsid w:val="7AE90A41"/>
    <w:rsid w:val="7AEB07A7"/>
    <w:rsid w:val="7AEF0E11"/>
    <w:rsid w:val="7B614E8B"/>
    <w:rsid w:val="7B680B0D"/>
    <w:rsid w:val="7B913009"/>
    <w:rsid w:val="7C810932"/>
    <w:rsid w:val="7E273FCC"/>
    <w:rsid w:val="7E49406D"/>
    <w:rsid w:val="7E997875"/>
    <w:rsid w:val="7EAC6D17"/>
    <w:rsid w:val="7F111623"/>
    <w:rsid w:val="7F3216C6"/>
    <w:rsid w:val="7F5D2C78"/>
    <w:rsid w:val="7FDF6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unhideWhenUsed/>
    <w:qFormat/>
    <w:uiPriority w:val="9"/>
    <w:pPr>
      <w:keepNext/>
      <w:keepLines/>
      <w:spacing w:before="240" w:after="64" w:line="320" w:lineRule="auto"/>
      <w:outlineLvl w:val="5"/>
    </w:pPr>
    <w:rPr>
      <w:rFonts w:ascii="Cambria" w:hAnsi="Cambria" w:eastAsia="宋体" w:cs="Times New Roman"/>
      <w:b/>
      <w:bCs/>
      <w:sz w:val="24"/>
      <w:szCs w:val="24"/>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新A4正文"/>
    <w:basedOn w:val="1"/>
    <w:qFormat/>
    <w:uiPriority w:val="0"/>
    <w:pPr>
      <w:ind w:firstLine="698" w:firstLineChars="133"/>
    </w:pPr>
    <w:rPr>
      <w:spacing w:val="1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2023-01-12T06:16:00Z</dcterms:created>
  <dc:creator>霄笑</dc:creator>
  <cp:lastModifiedBy>霄笑</cp:lastModifiedBy>
  <cp:lastPrinted>2023-01-12T08:12:00Z</cp:lastPrinted>
  <dcterms:modified xsi:type="dcterms:W3CDTF">2023-02-08T08:06:15Z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ICV">
    <vt:lpwstr>C26A4413EA1B4BA6BFDE2A55FBDABBF5</vt:lpwstr>
  </property>
</Properties>
</file>